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tl w:val="0"/>
        </w:rPr>
        <w:t xml:space="preserve">Configuration Management Policy</w:t>
      </w:r>
      <w:r w:rsidDel="00000000" w:rsidR="00000000" w:rsidRPr="00000000">
        <w:rPr>
          <w:rtl w:val="0"/>
        </w:rPr>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ind w:left="360" w:firstLine="0"/>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pPr>
      <w:bookmarkStart w:colFirst="0" w:colLast="0" w:name="_r1cbqv346q9" w:id="2"/>
      <w:bookmarkEnd w:id="2"/>
      <w:r w:rsidDel="00000000" w:rsidR="00000000" w:rsidRPr="00000000">
        <w:rPr>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0D">
      <w:pPr>
        <w:numPr>
          <w:ilvl w:val="0"/>
          <w:numId w:val="1"/>
        </w:numPr>
      </w:pPr>
      <w:r w:rsidDel="00000000" w:rsidR="00000000" w:rsidRPr="00000000">
        <w:rPr>
          <w:rtl w:val="0"/>
        </w:rPr>
        <w:t xml:space="preserve">CIS Benchmarks: </w:t>
      </w:r>
      <w:hyperlink r:id="rId6">
        <w:r w:rsidDel="00000000" w:rsidR="00000000" w:rsidRPr="00000000">
          <w:rPr>
            <w:color w:val="1155cc"/>
            <w:u w:val="single"/>
            <w:rtl w:val="0"/>
          </w:rPr>
          <w:t xml:space="preserve">https://www.cisecurity.org/cis-benchmarks</w:t>
        </w:r>
      </w:hyperlink>
      <w:r w:rsidDel="00000000" w:rsidR="00000000" w:rsidRPr="00000000">
        <w:rPr>
          <w:rtl w:val="0"/>
        </w:rPr>
        <w:t xml:space="preserve"> </w:t>
      </w:r>
    </w:p>
    <w:p w:rsidR="00000000" w:rsidDel="00000000" w:rsidP="00000000" w:rsidRDefault="00000000" w:rsidRPr="00000000" w14:paraId="0000000E">
      <w:pPr>
        <w:numPr>
          <w:ilvl w:val="0"/>
          <w:numId w:val="1"/>
        </w:numPr>
      </w:pPr>
      <w:r w:rsidDel="00000000" w:rsidR="00000000" w:rsidRPr="00000000">
        <w:rPr>
          <w:rtl w:val="0"/>
        </w:rPr>
        <w:t xml:space="preserve">ISO 10007: </w:t>
      </w:r>
      <w:hyperlink r:id="rId7">
        <w:r w:rsidDel="00000000" w:rsidR="00000000" w:rsidRPr="00000000">
          <w:rPr>
            <w:color w:val="1155cc"/>
            <w:u w:val="single"/>
            <w:rtl w:val="0"/>
          </w:rPr>
          <w:t xml:space="preserve">https://www.iso.org/obp/ui/#iso:std:iso:10007:ed-3:v1:en</w:t>
        </w:r>
      </w:hyperlink>
      <w:r w:rsidDel="00000000" w:rsidR="00000000" w:rsidRPr="00000000">
        <w:rPr>
          <w:rtl w:val="0"/>
        </w:rPr>
      </w:r>
    </w:p>
    <w:p w:rsidR="00000000" w:rsidDel="00000000" w:rsidP="00000000" w:rsidRDefault="00000000" w:rsidRPr="00000000" w14:paraId="0000000F">
      <w:pPr>
        <w:numPr>
          <w:ilvl w:val="0"/>
          <w:numId w:val="1"/>
        </w:numPr>
      </w:pPr>
      <w:r w:rsidDel="00000000" w:rsidR="00000000" w:rsidRPr="00000000">
        <w:rPr>
          <w:rtl w:val="0"/>
        </w:rPr>
        <w:t xml:space="preserve">ISO/IEC 29146: </w:t>
      </w:r>
      <w:hyperlink r:id="rId8">
        <w:r w:rsidDel="00000000" w:rsidR="00000000" w:rsidRPr="00000000">
          <w:rPr>
            <w:color w:val="1155cc"/>
            <w:u w:val="single"/>
            <w:rtl w:val="0"/>
          </w:rPr>
          <w:t xml:space="preserve">https://www.iso.org/obp/ui/#iso:std:iso-iec:29146:ed-2:v1:en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numPr>
          <w:ilvl w:val="0"/>
          <w:numId w:val="1"/>
        </w:numPr>
      </w:pPr>
      <w:r w:rsidDel="00000000" w:rsidR="00000000" w:rsidRPr="00000000">
        <w:rPr>
          <w:rtl w:val="0"/>
        </w:rPr>
        <w:t xml:space="preserve">NIST 800-128: </w:t>
      </w:r>
      <w:hyperlink r:id="rId9">
        <w:r w:rsidDel="00000000" w:rsidR="00000000" w:rsidRPr="00000000">
          <w:rPr>
            <w:color w:val="1155cc"/>
            <w:u w:val="single"/>
            <w:rtl w:val="0"/>
          </w:rPr>
          <w:t xml:space="preserve">https://csrc.nist.gov/pubs/sp/800/128/upd1/final</w:t>
        </w:r>
      </w:hyperlink>
      <w:r w:rsidDel="00000000" w:rsidR="00000000" w:rsidRPr="00000000">
        <w:rPr>
          <w:rtl w:val="0"/>
        </w:rPr>
        <w:t xml:space="preserve"> </w:t>
      </w:r>
    </w:p>
    <w:p w:rsidR="00000000" w:rsidDel="00000000" w:rsidP="00000000" w:rsidRDefault="00000000" w:rsidRPr="00000000" w14:paraId="00000011">
      <w:pPr>
        <w:numPr>
          <w:ilvl w:val="0"/>
          <w:numId w:val="1"/>
        </w:numPr>
      </w:pPr>
      <w:r w:rsidDel="00000000" w:rsidR="00000000" w:rsidRPr="00000000">
        <w:rPr>
          <w:rtl w:val="0"/>
        </w:rPr>
        <w:t xml:space="preserve">ISO/IEC 27001:2022: A.5.15, A.5.30, A.8.6, A.8.9, A.8.14, A.8.17, A.8.18</w:t>
      </w:r>
    </w:p>
    <w:p w:rsidR="00000000" w:rsidDel="00000000" w:rsidP="00000000" w:rsidRDefault="00000000" w:rsidRPr="00000000" w14:paraId="00000012">
      <w:pPr>
        <w:numPr>
          <w:ilvl w:val="0"/>
          <w:numId w:val="1"/>
        </w:numPr>
      </w:pPr>
      <w:r w:rsidDel="00000000" w:rsidR="00000000" w:rsidRPr="00000000">
        <w:rPr>
          <w:rtl w:val="0"/>
        </w:rPr>
        <w:t xml:space="preserve">NIST 800-53 rev. 5: AC-6, AC-6(1), AC-6(2), AC-6(10), AC-17(4), AU-8, CM-1, CM-2, CM-2(2), CM-2(3), CM-2(7), CM-5, CM-5(5), CM-6(1), CM-7, CM-7(1), CM-7(2), CM-9, CP-6, CP-10, MA-3, MA-3(1), SA-9(2), SC-1, SC-5, SC-7(18), SC-39, SC-45, SC-45(1)</w:t>
      </w:r>
    </w:p>
    <w:p w:rsidR="00000000" w:rsidDel="00000000" w:rsidP="00000000" w:rsidRDefault="00000000" w:rsidRPr="00000000" w14:paraId="00000013">
      <w:pPr>
        <w:numPr>
          <w:ilvl w:val="0"/>
          <w:numId w:val="1"/>
        </w:numPr>
      </w:pPr>
      <w:r w:rsidDel="00000000" w:rsidR="00000000" w:rsidRPr="00000000">
        <w:rPr>
          <w:rtl w:val="0"/>
        </w:rPr>
        <w:t xml:space="preserve">CIS v8: 4.1, 4.2, 4.7, 4.8, 6.8, 8.4, 12.2, 12.3, 12.6, 12.8, 16.7</w:t>
      </w:r>
    </w:p>
    <w:p w:rsidR="00000000" w:rsidDel="00000000" w:rsidP="00000000" w:rsidRDefault="00000000" w:rsidRPr="00000000" w14:paraId="00000014">
      <w:pPr>
        <w:numPr>
          <w:ilvl w:val="0"/>
          <w:numId w:val="1"/>
        </w:numPr>
      </w:pPr>
      <w:r w:rsidDel="00000000" w:rsidR="00000000" w:rsidRPr="00000000">
        <w:rPr>
          <w:rtl w:val="0"/>
        </w:rPr>
        <w:t xml:space="preserve">PCI DSS 4.0: 1.2.5, 1.2.6, 1.2.8, 2.1.1, 2.2.1, 2.2.2, 2.2.3, 2.2.4, 2.2.6,  2.2.7, 5.3.5, 7.2.5, 7.3.1, 7.3.3, 10.6.1, 10.6.2, 10.6.3</w:t>
      </w:r>
    </w:p>
    <w:p w:rsidR="00000000" w:rsidDel="00000000" w:rsidP="00000000" w:rsidRDefault="00000000" w:rsidRPr="00000000" w14:paraId="00000015">
      <w:pPr>
        <w:numPr>
          <w:ilvl w:val="0"/>
          <w:numId w:val="1"/>
        </w:numPr>
      </w:pPr>
      <w:r w:rsidDel="00000000" w:rsidR="00000000" w:rsidRPr="00000000">
        <w:rPr>
          <w:rtl w:val="0"/>
        </w:rPr>
        <w:t xml:space="preserve">AICPA SOC 2 TSC: A1.1, CC4.1, CC6.2, CC6.3, CC6.5, CC6.7, CC7.1, CC9.1, P5.1, PI1.2</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pStyle w:val="Heading2"/>
        <w:numPr>
          <w:ilvl w:val="0"/>
          <w:numId w:val="4"/>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8">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B">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1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1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2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2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2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2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9">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A">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2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2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3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31">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32">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3">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4">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5">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8">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9">
      <w:pPr>
        <w:rPr>
          <w:rFonts w:ascii="Epilogue" w:cs="Epilogue" w:eastAsia="Epilogue" w:hAnsi="Epilogue"/>
        </w:rPr>
      </w:pPr>
      <w:r w:rsidDel="00000000" w:rsidR="00000000" w:rsidRPr="00000000">
        <w:rPr>
          <w:rtl w:val="0"/>
        </w:rPr>
      </w:r>
    </w:p>
    <w:p w:rsidR="00000000" w:rsidDel="00000000" w:rsidP="00000000" w:rsidRDefault="00000000" w:rsidRPr="00000000" w14:paraId="0000003A">
      <w:pPr>
        <w:pStyle w:val="Heading2"/>
        <w:numPr>
          <w:ilvl w:val="0"/>
          <w:numId w:val="4"/>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B">
      <w:pPr>
        <w:ind w:left="720" w:firstLine="0"/>
        <w:rPr>
          <w:rFonts w:ascii="Epilogue" w:cs="Epilogue" w:eastAsia="Epilogue" w:hAnsi="Epilogue"/>
        </w:rPr>
      </w:pPr>
      <w:r w:rsidDel="00000000" w:rsidR="00000000" w:rsidRPr="00000000">
        <w:rPr>
          <w:rtl w:val="0"/>
        </w:rPr>
        <w:t xml:space="preserve">This Configuration Management Policy aims to establish a framework for managing and controlling the configuration of the organization's information systems, ensuring that systems and processes are secure, consistent, and compliant with organizational and industry standards. This policy aims to enhance the security, reliability, and performance of the organization's IT infrastructure by enforcing systematic processes for baseline configuration management, system hardening, and the management of system changes.</w:t>
      </w:r>
      <w:r w:rsidDel="00000000" w:rsidR="00000000" w:rsidRPr="00000000">
        <w:rPr>
          <w:rtl w:val="0"/>
        </w:rPr>
      </w:r>
    </w:p>
    <w:p w:rsidR="00000000" w:rsidDel="00000000" w:rsidP="00000000" w:rsidRDefault="00000000" w:rsidRPr="00000000" w14:paraId="0000003C">
      <w:pPr>
        <w:pStyle w:val="Heading2"/>
        <w:numPr>
          <w:ilvl w:val="0"/>
          <w:numId w:val="4"/>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3D">
      <w:pPr>
        <w:spacing w:after="240" w:before="240" w:lineRule="auto"/>
        <w:ind w:firstLine="720"/>
        <w:rPr/>
      </w:pPr>
      <w:r w:rsidDel="00000000" w:rsidR="00000000" w:rsidRPr="00000000">
        <w:rPr>
          <w:rtl w:val="0"/>
        </w:rPr>
        <w:t xml:space="preserve">This policy applies to all information systems and any other IT assets owned, operated, or managed by the organization. It includes all employees, contractors, and third-party service providers who have access to or are responsible for configuring and maintaining these systems. This policy covers the following key areas:</w:t>
      </w:r>
    </w:p>
    <w:p w:rsidR="00000000" w:rsidDel="00000000" w:rsidP="00000000" w:rsidRDefault="00000000" w:rsidRPr="00000000" w14:paraId="0000003E">
      <w:pPr>
        <w:numPr>
          <w:ilvl w:val="0"/>
          <w:numId w:val="5"/>
        </w:numPr>
        <w:spacing w:after="0" w:afterAutospacing="0" w:before="240" w:lineRule="auto"/>
        <w:ind w:left="1440" w:hanging="360"/>
      </w:pPr>
      <w:r w:rsidDel="00000000" w:rsidR="00000000" w:rsidRPr="00000000">
        <w:rPr>
          <w:rtl w:val="0"/>
        </w:rPr>
        <w:t xml:space="preserve">Baseline configuration management</w:t>
      </w:r>
    </w:p>
    <w:p w:rsidR="00000000" w:rsidDel="00000000" w:rsidP="00000000" w:rsidRDefault="00000000" w:rsidRPr="00000000" w14:paraId="0000003F">
      <w:pPr>
        <w:numPr>
          <w:ilvl w:val="0"/>
          <w:numId w:val="5"/>
        </w:numPr>
        <w:spacing w:after="0" w:afterAutospacing="0" w:before="0" w:beforeAutospacing="0" w:lineRule="auto"/>
        <w:ind w:left="1440" w:hanging="360"/>
      </w:pPr>
      <w:r w:rsidDel="00000000" w:rsidR="00000000" w:rsidRPr="00000000">
        <w:rPr>
          <w:rtl w:val="0"/>
        </w:rPr>
        <w:t xml:space="preserve">System hardening, including least functionality, disabling default credentials, securing clocks, and operating system configuration</w:t>
      </w:r>
    </w:p>
    <w:p w:rsidR="00000000" w:rsidDel="00000000" w:rsidP="00000000" w:rsidRDefault="00000000" w:rsidRPr="00000000" w14:paraId="00000040">
      <w:pPr>
        <w:numPr>
          <w:ilvl w:val="0"/>
          <w:numId w:val="5"/>
        </w:numPr>
        <w:spacing w:after="0" w:afterAutospacing="0" w:before="0" w:beforeAutospacing="0" w:lineRule="auto"/>
        <w:ind w:left="1440" w:hanging="360"/>
      </w:pPr>
      <w:r w:rsidDel="00000000" w:rsidR="00000000" w:rsidRPr="00000000">
        <w:rPr>
          <w:rtl w:val="0"/>
        </w:rPr>
        <w:t xml:space="preserve">Use of secure components</w:t>
      </w:r>
    </w:p>
    <w:p w:rsidR="00000000" w:rsidDel="00000000" w:rsidP="00000000" w:rsidRDefault="00000000" w:rsidRPr="00000000" w14:paraId="00000041">
      <w:pPr>
        <w:numPr>
          <w:ilvl w:val="0"/>
          <w:numId w:val="5"/>
        </w:numPr>
        <w:spacing w:after="0" w:afterAutospacing="0" w:before="0" w:beforeAutospacing="0" w:lineRule="auto"/>
        <w:ind w:left="1440" w:hanging="360"/>
      </w:pPr>
      <w:r w:rsidDel="00000000" w:rsidR="00000000" w:rsidRPr="00000000">
        <w:rPr>
          <w:rtl w:val="0"/>
        </w:rPr>
        <w:t xml:space="preserve">Ensuring fail-secure configurations</w:t>
      </w:r>
    </w:p>
    <w:p w:rsidR="00000000" w:rsidDel="00000000" w:rsidP="00000000" w:rsidRDefault="00000000" w:rsidRPr="00000000" w14:paraId="00000042">
      <w:pPr>
        <w:numPr>
          <w:ilvl w:val="0"/>
          <w:numId w:val="5"/>
        </w:numPr>
        <w:spacing w:after="0" w:afterAutospacing="0" w:before="0" w:beforeAutospacing="0" w:lineRule="auto"/>
        <w:ind w:left="1440" w:hanging="360"/>
      </w:pPr>
      <w:r w:rsidDel="00000000" w:rsidR="00000000" w:rsidRPr="00000000">
        <w:rPr>
          <w:rtl w:val="0"/>
        </w:rPr>
        <w:t xml:space="preserve">Restriction of configuration changes</w:t>
      </w:r>
    </w:p>
    <w:p w:rsidR="00000000" w:rsidDel="00000000" w:rsidP="00000000" w:rsidRDefault="00000000" w:rsidRPr="00000000" w14:paraId="00000043">
      <w:pPr>
        <w:numPr>
          <w:ilvl w:val="0"/>
          <w:numId w:val="5"/>
        </w:numPr>
        <w:spacing w:after="0" w:afterAutospacing="0" w:before="0" w:beforeAutospacing="0" w:lineRule="auto"/>
        <w:ind w:left="1440" w:hanging="360"/>
      </w:pPr>
      <w:r w:rsidDel="00000000" w:rsidR="00000000" w:rsidRPr="00000000">
        <w:rPr>
          <w:rtl w:val="0"/>
        </w:rPr>
        <w:t xml:space="preserve">Cost management, scalability, and elasticity of systems</w:t>
      </w:r>
    </w:p>
    <w:p w:rsidR="00000000" w:rsidDel="00000000" w:rsidP="00000000" w:rsidRDefault="00000000" w:rsidRPr="00000000" w14:paraId="00000044">
      <w:pPr>
        <w:numPr>
          <w:ilvl w:val="0"/>
          <w:numId w:val="5"/>
        </w:numPr>
        <w:spacing w:after="0" w:afterAutospacing="0" w:before="0" w:beforeAutospacing="0" w:lineRule="auto"/>
        <w:ind w:left="1440" w:hanging="360"/>
      </w:pPr>
      <w:r w:rsidDel="00000000" w:rsidR="00000000" w:rsidRPr="00000000">
        <w:rPr>
          <w:rtl w:val="0"/>
        </w:rPr>
        <w:t xml:space="preserve">Availability and capacity of system services and data storage</w:t>
      </w:r>
    </w:p>
    <w:p w:rsidR="00000000" w:rsidDel="00000000" w:rsidP="00000000" w:rsidRDefault="00000000" w:rsidRPr="00000000" w14:paraId="00000045">
      <w:pPr>
        <w:numPr>
          <w:ilvl w:val="0"/>
          <w:numId w:val="5"/>
        </w:numPr>
        <w:spacing w:after="240" w:before="0" w:beforeAutospacing="0" w:lineRule="auto"/>
        <w:ind w:left="1440" w:hanging="360"/>
      </w:pPr>
      <w:r w:rsidDel="00000000" w:rsidR="00000000" w:rsidRPr="00000000">
        <w:rPr>
          <w:rtl w:val="0"/>
        </w:rPr>
        <w:t xml:space="preserve">Quality and performance standards of the system</w:t>
      </w:r>
    </w:p>
    <w:p w:rsidR="00000000" w:rsidDel="00000000" w:rsidP="00000000" w:rsidRDefault="00000000" w:rsidRPr="00000000" w14:paraId="00000046">
      <w:pPr>
        <w:spacing w:after="240" w:before="240" w:lineRule="auto"/>
        <w:ind w:firstLine="720"/>
        <w:rPr/>
      </w:pPr>
      <w:r w:rsidDel="00000000" w:rsidR="00000000" w:rsidRPr="00000000">
        <w:rPr>
          <w:rtl w:val="0"/>
        </w:rPr>
        <w:t xml:space="preserve">By adhering to this policy, the organization aims to mitigate risks associated with misconfigurations, unauthorized changes, and system vulnerabilities, thereby maintaining a secure and resilient IT environment.</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pStyle w:val="Heading2"/>
        <w:numPr>
          <w:ilvl w:val="0"/>
          <w:numId w:val="4"/>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49">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4A">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B">
            <w:pPr>
              <w:widowControl w:val="0"/>
              <w:spacing w:line="276" w:lineRule="auto"/>
              <w:ind w:left="0" w:firstLine="0"/>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C">
            <w:pPr>
              <w:widowControl w:val="0"/>
              <w:spacing w:line="276" w:lineRule="auto"/>
              <w:ind w:left="0" w:firstLine="0"/>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D">
            <w:pPr>
              <w:widowControl w:val="0"/>
              <w:spacing w:line="276" w:lineRule="auto"/>
              <w:ind w:left="0" w:firstLine="0"/>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ind w:left="0" w:firstLine="0"/>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5C">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ind w:left="0" w:firstLine="0"/>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76" w:lineRule="auto"/>
              <w:ind w:left="0" w:firstLine="0"/>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6A">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B">
      <w:pPr>
        <w:pStyle w:val="Heading2"/>
        <w:numPr>
          <w:ilvl w:val="0"/>
          <w:numId w:val="4"/>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6C">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D">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E">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F">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70">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1">
      <w:pPr>
        <w:pStyle w:val="Heading2"/>
        <w:numPr>
          <w:ilvl w:val="0"/>
          <w:numId w:val="4"/>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72">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73">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74">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75">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76">
      <w:pPr>
        <w:numPr>
          <w:ilvl w:val="0"/>
          <w:numId w:val="3"/>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7">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8">
      <w:pPr>
        <w:pStyle w:val="Heading2"/>
        <w:numPr>
          <w:ilvl w:val="0"/>
          <w:numId w:val="4"/>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79">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7B">
      <w:pPr>
        <w:rPr>
          <w:rFonts w:ascii="Epilogue" w:cs="Epilogue" w:eastAsia="Epilogue" w:hAnsi="Epilogue"/>
        </w:rPr>
      </w:pPr>
      <w:r w:rsidDel="00000000" w:rsidR="00000000" w:rsidRPr="00000000">
        <w:rPr>
          <w:rtl w:val="0"/>
        </w:rPr>
      </w:r>
    </w:p>
    <w:p w:rsidR="00000000" w:rsidDel="00000000" w:rsidP="00000000" w:rsidRDefault="00000000" w:rsidRPr="00000000" w14:paraId="0000007C">
      <w:pPr>
        <w:pStyle w:val="Heading2"/>
        <w:numPr>
          <w:ilvl w:val="0"/>
          <w:numId w:val="4"/>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7D">
      <w:pPr>
        <w:numPr>
          <w:ilvl w:val="1"/>
          <w:numId w:val="4"/>
        </w:numPr>
        <w:ind w:left="1440" w:hanging="360"/>
      </w:pPr>
      <w:r w:rsidDel="00000000" w:rsidR="00000000" w:rsidRPr="00000000">
        <w:rPr>
          <w:rtl w:val="0"/>
        </w:rPr>
        <w:t xml:space="preserve">Baseline Configuration: A documented set of specifications for an information system, derived from the current operational environment, which serves as a foundation for future changes and maintenance.</w:t>
      </w:r>
    </w:p>
    <w:p w:rsidR="00000000" w:rsidDel="00000000" w:rsidP="00000000" w:rsidRDefault="00000000" w:rsidRPr="00000000" w14:paraId="0000007E">
      <w:pPr>
        <w:numPr>
          <w:ilvl w:val="1"/>
          <w:numId w:val="4"/>
        </w:numPr>
        <w:ind w:left="1440" w:hanging="360"/>
      </w:pPr>
      <w:r w:rsidDel="00000000" w:rsidR="00000000" w:rsidRPr="00000000">
        <w:rPr>
          <w:rtl w:val="0"/>
        </w:rPr>
        <w:t xml:space="preserve">Least Functionality: The practice of configuring systems to operate with only the necessary capabilities, removing or disabling all non-essential functions and services.</w:t>
      </w:r>
    </w:p>
    <w:p w:rsidR="00000000" w:rsidDel="00000000" w:rsidP="00000000" w:rsidRDefault="00000000" w:rsidRPr="00000000" w14:paraId="0000007F">
      <w:pPr>
        <w:numPr>
          <w:ilvl w:val="1"/>
          <w:numId w:val="4"/>
        </w:numPr>
        <w:ind w:left="1440" w:hanging="360"/>
      </w:pPr>
      <w:r w:rsidDel="00000000" w:rsidR="00000000" w:rsidRPr="00000000">
        <w:rPr>
          <w:rtl w:val="0"/>
        </w:rPr>
        <w:t xml:space="preserve">Default Credentials: Pre-configured usernames and passwords set by manufacturers for accessing systems or devices, which must be changed or disabled to prevent unauthorized access.</w:t>
      </w:r>
    </w:p>
    <w:p w:rsidR="00000000" w:rsidDel="00000000" w:rsidP="00000000" w:rsidRDefault="00000000" w:rsidRPr="00000000" w14:paraId="00000080">
      <w:pPr>
        <w:numPr>
          <w:ilvl w:val="1"/>
          <w:numId w:val="4"/>
        </w:numPr>
        <w:ind w:left="1440" w:hanging="360"/>
      </w:pPr>
      <w:r w:rsidDel="00000000" w:rsidR="00000000" w:rsidRPr="00000000">
        <w:rPr>
          <w:rtl w:val="0"/>
        </w:rPr>
        <w:t xml:space="preserve">Secure Clocks: The synchronization of system clocks with a reliable and authoritative time source to ensure accurate timekeeping and log integrity.</w:t>
      </w:r>
    </w:p>
    <w:p w:rsidR="00000000" w:rsidDel="00000000" w:rsidP="00000000" w:rsidRDefault="00000000" w:rsidRPr="00000000" w14:paraId="00000081">
      <w:pPr>
        <w:numPr>
          <w:ilvl w:val="1"/>
          <w:numId w:val="4"/>
        </w:numPr>
        <w:ind w:left="1440" w:hanging="360"/>
      </w:pPr>
      <w:r w:rsidDel="00000000" w:rsidR="00000000" w:rsidRPr="00000000">
        <w:rPr>
          <w:rtl w:val="0"/>
        </w:rPr>
        <w:t xml:space="preserve">Operating System Hardening: The process of securing an operating system by reducing its surface of vulnerability, which includes applying patches, configuring settings securely, and disabling unnecessary services.</w:t>
      </w:r>
    </w:p>
    <w:p w:rsidR="00000000" w:rsidDel="00000000" w:rsidP="00000000" w:rsidRDefault="00000000" w:rsidRPr="00000000" w14:paraId="00000082">
      <w:pPr>
        <w:numPr>
          <w:ilvl w:val="1"/>
          <w:numId w:val="4"/>
        </w:numPr>
        <w:ind w:left="1440" w:hanging="360"/>
      </w:pPr>
      <w:r w:rsidDel="00000000" w:rsidR="00000000" w:rsidRPr="00000000">
        <w:rPr>
          <w:rtl w:val="0"/>
        </w:rPr>
        <w:t xml:space="preserve">Network Components: Hardware and software that facilitate network connectivity, communication, and management, including routers, switches, firewalls, and load balancers.</w:t>
      </w:r>
    </w:p>
    <w:p w:rsidR="00000000" w:rsidDel="00000000" w:rsidP="00000000" w:rsidRDefault="00000000" w:rsidRPr="00000000" w14:paraId="00000083">
      <w:pPr>
        <w:numPr>
          <w:ilvl w:val="1"/>
          <w:numId w:val="4"/>
        </w:numPr>
        <w:ind w:left="1440" w:hanging="360"/>
      </w:pPr>
      <w:r w:rsidDel="00000000" w:rsidR="00000000" w:rsidRPr="00000000">
        <w:rPr>
          <w:rtl w:val="0"/>
        </w:rPr>
        <w:t xml:space="preserve">Fail Secure: A configuration principle ensuring that systems default to a secure state in the event of a failure, thereby maintaining security even during unexpected outages or malfunctions.</w:t>
      </w:r>
    </w:p>
    <w:p w:rsidR="00000000" w:rsidDel="00000000" w:rsidP="00000000" w:rsidRDefault="00000000" w:rsidRPr="00000000" w14:paraId="00000084">
      <w:pPr>
        <w:numPr>
          <w:ilvl w:val="1"/>
          <w:numId w:val="4"/>
        </w:numPr>
        <w:ind w:left="1440" w:hanging="360"/>
      </w:pPr>
      <w:r w:rsidDel="00000000" w:rsidR="00000000" w:rsidRPr="00000000">
        <w:rPr>
          <w:rtl w:val="0"/>
        </w:rPr>
        <w:t xml:space="preserve">Privileged Accounts: User accounts with elevated permissions that allow for administrative access to systems and data, typically restricted to authorized personnel only.</w:t>
      </w:r>
    </w:p>
    <w:p w:rsidR="00000000" w:rsidDel="00000000" w:rsidP="00000000" w:rsidRDefault="00000000" w:rsidRPr="00000000" w14:paraId="00000085">
      <w:pPr>
        <w:numPr>
          <w:ilvl w:val="1"/>
          <w:numId w:val="4"/>
        </w:numPr>
        <w:ind w:left="1440" w:hanging="360"/>
      </w:pPr>
      <w:r w:rsidDel="00000000" w:rsidR="00000000" w:rsidRPr="00000000">
        <w:rPr>
          <w:rtl w:val="0"/>
        </w:rPr>
        <w:t xml:space="preserve">Least Privilege: The principle of granting users and processes the minimum levels of access—or permissions—needed to perform their job functions or tasks.</w:t>
      </w:r>
    </w:p>
    <w:p w:rsidR="00000000" w:rsidDel="00000000" w:rsidP="00000000" w:rsidRDefault="00000000" w:rsidRPr="00000000" w14:paraId="00000086">
      <w:pPr>
        <w:numPr>
          <w:ilvl w:val="1"/>
          <w:numId w:val="4"/>
        </w:numPr>
        <w:ind w:left="1440" w:hanging="360"/>
      </w:pPr>
      <w:r w:rsidDel="00000000" w:rsidR="00000000" w:rsidRPr="00000000">
        <w:rPr>
          <w:rtl w:val="0"/>
        </w:rPr>
        <w:t xml:space="preserve">Administrative Software, Scripts, and Services: Tools and utilities used by system administrators to manage, configure, and maintain information systems, which must be protected from unauthorized access.</w:t>
      </w:r>
    </w:p>
    <w:p w:rsidR="00000000" w:rsidDel="00000000" w:rsidP="00000000" w:rsidRDefault="00000000" w:rsidRPr="00000000" w14:paraId="00000087">
      <w:pPr>
        <w:numPr>
          <w:ilvl w:val="1"/>
          <w:numId w:val="4"/>
        </w:numPr>
        <w:ind w:left="1440" w:hanging="360"/>
      </w:pPr>
      <w:r w:rsidDel="00000000" w:rsidR="00000000" w:rsidRPr="00000000">
        <w:rPr>
          <w:rtl w:val="0"/>
        </w:rPr>
        <w:t xml:space="preserve">Service Accounts: Specialized accounts used to run application services or perform automated tasks, typically configured with limited permissions to reduce security risks.</w:t>
      </w:r>
    </w:p>
    <w:p w:rsidR="00000000" w:rsidDel="00000000" w:rsidP="00000000" w:rsidRDefault="00000000" w:rsidRPr="00000000" w14:paraId="00000088">
      <w:pPr>
        <w:numPr>
          <w:ilvl w:val="1"/>
          <w:numId w:val="4"/>
        </w:numPr>
        <w:ind w:left="1440" w:hanging="360"/>
      </w:pPr>
      <w:r w:rsidDel="00000000" w:rsidR="00000000" w:rsidRPr="00000000">
        <w:rPr>
          <w:rtl w:val="0"/>
        </w:rPr>
        <w:t xml:space="preserve">Scalability: The capability of a system to handle a growing amount of work or its potential to accommodate growth.</w:t>
      </w:r>
    </w:p>
    <w:p w:rsidR="00000000" w:rsidDel="00000000" w:rsidP="00000000" w:rsidRDefault="00000000" w:rsidRPr="00000000" w14:paraId="00000089">
      <w:pPr>
        <w:numPr>
          <w:ilvl w:val="1"/>
          <w:numId w:val="4"/>
        </w:numPr>
        <w:ind w:left="1440" w:hanging="360"/>
      </w:pPr>
      <w:r w:rsidDel="00000000" w:rsidR="00000000" w:rsidRPr="00000000">
        <w:rPr>
          <w:rtl w:val="0"/>
        </w:rPr>
        <w:t xml:space="preserve">Elasticity: The ability of a system to dynamically adjust resources and services to meet varying demands, ensuring efficient use of resources.</w:t>
      </w:r>
    </w:p>
    <w:p w:rsidR="00000000" w:rsidDel="00000000" w:rsidP="00000000" w:rsidRDefault="00000000" w:rsidRPr="00000000" w14:paraId="0000008A">
      <w:pPr>
        <w:numPr>
          <w:ilvl w:val="1"/>
          <w:numId w:val="4"/>
        </w:numPr>
        <w:ind w:left="1440" w:hanging="360"/>
      </w:pPr>
      <w:r w:rsidDel="00000000" w:rsidR="00000000" w:rsidRPr="00000000">
        <w:rPr>
          <w:rtl w:val="0"/>
        </w:rPr>
        <w:t xml:space="preserve">Availability: The measure of a system's ability to be accessible and operational when required for use, ensuring continuous service delivery.</w:t>
      </w:r>
    </w:p>
    <w:p w:rsidR="00000000" w:rsidDel="00000000" w:rsidP="00000000" w:rsidRDefault="00000000" w:rsidRPr="00000000" w14:paraId="0000008B">
      <w:pPr>
        <w:numPr>
          <w:ilvl w:val="1"/>
          <w:numId w:val="4"/>
        </w:numPr>
        <w:ind w:left="1440" w:hanging="360"/>
      </w:pPr>
      <w:r w:rsidDel="00000000" w:rsidR="00000000" w:rsidRPr="00000000">
        <w:rPr>
          <w:rtl w:val="0"/>
        </w:rPr>
        <w:t xml:space="preserve">Capacity: The maximum amount of work that a system is capable of handling, which must be managed to meet current and future demands.</w:t>
      </w:r>
    </w:p>
    <w:p w:rsidR="00000000" w:rsidDel="00000000" w:rsidP="00000000" w:rsidRDefault="00000000" w:rsidRPr="00000000" w14:paraId="0000008C">
      <w:pPr>
        <w:numPr>
          <w:ilvl w:val="1"/>
          <w:numId w:val="4"/>
        </w:numPr>
        <w:ind w:left="1440" w:hanging="360"/>
      </w:pPr>
      <w:r w:rsidDel="00000000" w:rsidR="00000000" w:rsidRPr="00000000">
        <w:rPr>
          <w:rtl w:val="0"/>
        </w:rPr>
        <w:t xml:space="preserve">Quality and Performance: The adherence to predefined standards and the efficiency with which a system operates, affecting user satisfaction and operational effectiveness.</w:t>
      </w:r>
    </w:p>
    <w:p w:rsidR="00000000" w:rsidDel="00000000" w:rsidP="00000000" w:rsidRDefault="00000000" w:rsidRPr="00000000" w14:paraId="0000008D">
      <w:pPr>
        <w:numPr>
          <w:ilvl w:val="1"/>
          <w:numId w:val="4"/>
        </w:numPr>
        <w:ind w:left="1440" w:hanging="360"/>
      </w:pPr>
      <w:r w:rsidDel="00000000" w:rsidR="00000000" w:rsidRPr="00000000">
        <w:rPr>
          <w:rtl w:val="0"/>
        </w:rPr>
        <w:t xml:space="preserve">Backup Systems and Services: Mechanisms and processes used to create and store copies of data and systems to ensure data recovery and continuity in the event of a failure or loss.</w:t>
      </w:r>
    </w:p>
    <w:p w:rsidR="00000000" w:rsidDel="00000000" w:rsidP="00000000" w:rsidRDefault="00000000" w:rsidRPr="00000000" w14:paraId="0000008E">
      <w:pPr>
        <w:ind w:left="450" w:firstLine="0"/>
        <w:rPr/>
      </w:pPr>
      <w:r w:rsidDel="00000000" w:rsidR="00000000" w:rsidRPr="00000000">
        <w:rPr>
          <w:rtl w:val="0"/>
        </w:rPr>
      </w:r>
    </w:p>
    <w:p w:rsidR="00000000" w:rsidDel="00000000" w:rsidP="00000000" w:rsidRDefault="00000000" w:rsidRPr="00000000" w14:paraId="0000008F">
      <w:pPr>
        <w:pStyle w:val="Heading2"/>
        <w:numPr>
          <w:ilvl w:val="0"/>
          <w:numId w:val="4"/>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90">
      <w:pPr>
        <w:pStyle w:val="Heading4"/>
        <w:numPr>
          <w:ilvl w:val="1"/>
          <w:numId w:val="4"/>
        </w:numPr>
        <w:spacing w:before="0" w:beforeAutospacing="0"/>
        <w:ind w:left="1440" w:hanging="360"/>
      </w:pPr>
      <w:bookmarkStart w:colFirst="0" w:colLast="0" w:name="_357gkzn74rti" w:id="13"/>
      <w:bookmarkEnd w:id="13"/>
      <w:r w:rsidDel="00000000" w:rsidR="00000000" w:rsidRPr="00000000">
        <w:rPr>
          <w:rtl w:val="0"/>
        </w:rPr>
        <w:t xml:space="preserve">Baseline Configuration Management</w:t>
      </w:r>
    </w:p>
    <w:p w:rsidR="00000000" w:rsidDel="00000000" w:rsidP="00000000" w:rsidRDefault="00000000" w:rsidRPr="00000000" w14:paraId="00000091">
      <w:pPr>
        <w:ind w:left="1440" w:firstLine="0"/>
        <w:rPr/>
      </w:pPr>
      <w:r w:rsidDel="00000000" w:rsidR="00000000" w:rsidRPr="00000000">
        <w:rPr>
          <w:rtl w:val="0"/>
        </w:rPr>
        <w:t xml:space="preserve">The [responsible party] shall:</w:t>
      </w:r>
    </w:p>
    <w:p w:rsidR="00000000" w:rsidDel="00000000" w:rsidP="00000000" w:rsidRDefault="00000000" w:rsidRPr="00000000" w14:paraId="00000092">
      <w:pPr>
        <w:numPr>
          <w:ilvl w:val="2"/>
          <w:numId w:val="4"/>
        </w:numPr>
        <w:ind w:left="2160" w:hanging="360"/>
      </w:pPr>
      <w:r w:rsidDel="00000000" w:rsidR="00000000" w:rsidRPr="00000000">
        <w:rPr>
          <w:rtl w:val="0"/>
        </w:rPr>
        <w:t xml:space="preserve">Establish and maintain documented baseline configurations for all information systems and assets.</w:t>
      </w:r>
    </w:p>
    <w:p w:rsidR="00000000" w:rsidDel="00000000" w:rsidP="00000000" w:rsidRDefault="00000000" w:rsidRPr="00000000" w14:paraId="00000093">
      <w:pPr>
        <w:numPr>
          <w:ilvl w:val="2"/>
          <w:numId w:val="4"/>
        </w:numPr>
        <w:ind w:left="2160" w:hanging="360"/>
      </w:pPr>
      <w:r w:rsidDel="00000000" w:rsidR="00000000" w:rsidRPr="00000000">
        <w:rPr>
          <w:rtl w:val="0"/>
        </w:rPr>
        <w:t xml:space="preserve">Ensure that baseline configurations are reviewed and updated regularly to reflect the current operational environment.</w:t>
      </w:r>
    </w:p>
    <w:p w:rsidR="00000000" w:rsidDel="00000000" w:rsidP="00000000" w:rsidRDefault="00000000" w:rsidRPr="00000000" w14:paraId="00000094">
      <w:pPr>
        <w:numPr>
          <w:ilvl w:val="2"/>
          <w:numId w:val="4"/>
        </w:numPr>
        <w:ind w:left="2160" w:hanging="360"/>
      </w:pPr>
      <w:r w:rsidDel="00000000" w:rsidR="00000000" w:rsidRPr="00000000">
        <w:rPr>
          <w:rtl w:val="0"/>
        </w:rPr>
        <w:t xml:space="preserve">Utilize automated tools to enforce baseline configurations across all systems.</w:t>
      </w:r>
    </w:p>
    <w:p w:rsidR="00000000" w:rsidDel="00000000" w:rsidP="00000000" w:rsidRDefault="00000000" w:rsidRPr="00000000" w14:paraId="00000095">
      <w:pPr>
        <w:numPr>
          <w:ilvl w:val="2"/>
          <w:numId w:val="4"/>
        </w:numPr>
        <w:ind w:left="2160" w:hanging="360"/>
      </w:pPr>
      <w:r w:rsidDel="00000000" w:rsidR="00000000" w:rsidRPr="00000000">
        <w:rPr>
          <w:rtl w:val="0"/>
        </w:rPr>
        <w:t xml:space="preserve">Document and approve all deviations from established baselines.</w:t>
      </w:r>
    </w:p>
    <w:p w:rsidR="00000000" w:rsidDel="00000000" w:rsidP="00000000" w:rsidRDefault="00000000" w:rsidRPr="00000000" w14:paraId="00000096">
      <w:pPr>
        <w:ind w:left="2160" w:firstLine="0"/>
        <w:rPr/>
      </w:pPr>
      <w:r w:rsidDel="00000000" w:rsidR="00000000" w:rsidRPr="00000000">
        <w:rPr>
          <w:rtl w:val="0"/>
        </w:rPr>
      </w:r>
    </w:p>
    <w:p w:rsidR="00000000" w:rsidDel="00000000" w:rsidP="00000000" w:rsidRDefault="00000000" w:rsidRPr="00000000" w14:paraId="00000097">
      <w:pPr>
        <w:pStyle w:val="Heading4"/>
        <w:numPr>
          <w:ilvl w:val="1"/>
          <w:numId w:val="4"/>
        </w:numPr>
        <w:ind w:left="1440" w:hanging="360"/>
      </w:pPr>
      <w:bookmarkStart w:colFirst="0" w:colLast="0" w:name="_fasurcrd3xxm" w:id="14"/>
      <w:bookmarkEnd w:id="14"/>
      <w:r w:rsidDel="00000000" w:rsidR="00000000" w:rsidRPr="00000000">
        <w:rPr>
          <w:rtl w:val="0"/>
        </w:rPr>
        <w:t xml:space="preserve">Configuring and Hardening Systems</w:t>
      </w:r>
    </w:p>
    <w:p w:rsidR="00000000" w:rsidDel="00000000" w:rsidP="00000000" w:rsidRDefault="00000000" w:rsidRPr="00000000" w14:paraId="00000098">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99">
      <w:pPr>
        <w:numPr>
          <w:ilvl w:val="2"/>
          <w:numId w:val="4"/>
        </w:numPr>
        <w:ind w:left="2160" w:hanging="360"/>
      </w:pPr>
      <w:r w:rsidDel="00000000" w:rsidR="00000000" w:rsidRPr="00000000">
        <w:rPr>
          <w:rtl w:val="0"/>
        </w:rPr>
        <w:t xml:space="preserve">Configure systems to provide only essential capabilities, removing or disabling all unnecessary functions and services.</w:t>
      </w:r>
    </w:p>
    <w:p w:rsidR="00000000" w:rsidDel="00000000" w:rsidP="00000000" w:rsidRDefault="00000000" w:rsidRPr="00000000" w14:paraId="0000009A">
      <w:pPr>
        <w:numPr>
          <w:ilvl w:val="2"/>
          <w:numId w:val="4"/>
        </w:numPr>
        <w:ind w:left="2160" w:hanging="360"/>
      </w:pPr>
      <w:r w:rsidDel="00000000" w:rsidR="00000000" w:rsidRPr="00000000">
        <w:rPr>
          <w:rtl w:val="0"/>
        </w:rPr>
        <w:t xml:space="preserve">Remove or change all default passwords and disable default accounts immediately upon system installation.</w:t>
      </w:r>
    </w:p>
    <w:p w:rsidR="00000000" w:rsidDel="00000000" w:rsidP="00000000" w:rsidRDefault="00000000" w:rsidRPr="00000000" w14:paraId="0000009B">
      <w:pPr>
        <w:numPr>
          <w:ilvl w:val="2"/>
          <w:numId w:val="4"/>
        </w:numPr>
        <w:ind w:left="2160" w:hanging="360"/>
      </w:pPr>
      <w:r w:rsidDel="00000000" w:rsidR="00000000" w:rsidRPr="00000000">
        <w:rPr>
          <w:rtl w:val="0"/>
        </w:rPr>
        <w:t xml:space="preserve">Configure system clocks to synchronize with an authoritative time source to ensure accurate timekeeping across the network.</w:t>
      </w:r>
    </w:p>
    <w:p w:rsidR="00000000" w:rsidDel="00000000" w:rsidP="00000000" w:rsidRDefault="00000000" w:rsidRPr="00000000" w14:paraId="0000009C">
      <w:pPr>
        <w:numPr>
          <w:ilvl w:val="2"/>
          <w:numId w:val="4"/>
        </w:numPr>
        <w:ind w:left="2160" w:hanging="360"/>
      </w:pPr>
      <w:r w:rsidDel="00000000" w:rsidR="00000000" w:rsidRPr="00000000">
        <w:rPr>
          <w:rtl w:val="0"/>
        </w:rPr>
        <w:t xml:space="preserve">Harden operating systems according to industry best practices and organization-specific security guidelines.</w:t>
      </w:r>
    </w:p>
    <w:p w:rsidR="00000000" w:rsidDel="00000000" w:rsidP="00000000" w:rsidRDefault="00000000" w:rsidRPr="00000000" w14:paraId="0000009D">
      <w:pPr>
        <w:numPr>
          <w:ilvl w:val="2"/>
          <w:numId w:val="4"/>
        </w:numPr>
        <w:ind w:left="2160" w:hanging="360"/>
      </w:pPr>
      <w:r w:rsidDel="00000000" w:rsidR="00000000" w:rsidRPr="00000000">
        <w:rPr>
          <w:rtl w:val="0"/>
        </w:rPr>
        <w:t xml:space="preserve">Ensure only approved, secure configurations are deployed, and document all configuration settings.</w:t>
      </w:r>
    </w:p>
    <w:p w:rsidR="00000000" w:rsidDel="00000000" w:rsidP="00000000" w:rsidRDefault="00000000" w:rsidRPr="00000000" w14:paraId="0000009E">
      <w:pPr>
        <w:numPr>
          <w:ilvl w:val="2"/>
          <w:numId w:val="4"/>
        </w:numPr>
        <w:ind w:left="2160" w:hanging="360"/>
      </w:pPr>
      <w:r w:rsidDel="00000000" w:rsidR="00000000" w:rsidRPr="00000000">
        <w:rPr>
          <w:rtl w:val="0"/>
        </w:rPr>
        <w:t xml:space="preserve">Deploy only those network components, servers, domain name servers, wireless access points, and other system components that meet organizational security standards.</w:t>
      </w:r>
    </w:p>
    <w:p w:rsidR="00000000" w:rsidDel="00000000" w:rsidP="00000000" w:rsidRDefault="00000000" w:rsidRPr="00000000" w14:paraId="0000009F">
      <w:pPr>
        <w:numPr>
          <w:ilvl w:val="2"/>
          <w:numId w:val="4"/>
        </w:numPr>
        <w:ind w:left="2160" w:hanging="360"/>
      </w:pPr>
      <w:r w:rsidDel="00000000" w:rsidR="00000000" w:rsidRPr="00000000">
        <w:rPr>
          <w:rtl w:val="0"/>
        </w:rPr>
        <w:t xml:space="preserve">Regularly review and update configurations to protect against emerging threats and vulnerabilities.</w:t>
      </w:r>
    </w:p>
    <w:p w:rsidR="00000000" w:rsidDel="00000000" w:rsidP="00000000" w:rsidRDefault="00000000" w:rsidRPr="00000000" w14:paraId="000000A0">
      <w:pPr>
        <w:numPr>
          <w:ilvl w:val="2"/>
          <w:numId w:val="4"/>
        </w:numPr>
        <w:ind w:left="2160" w:hanging="360"/>
      </w:pPr>
      <w:r w:rsidDel="00000000" w:rsidR="00000000" w:rsidRPr="00000000">
        <w:rPr>
          <w:rtl w:val="0"/>
        </w:rPr>
        <w:t xml:space="preserve">Configure systems to default to a secure state in the event of a failure, ensuring that security is not compromised during outages or malfunctions.</w:t>
      </w:r>
    </w:p>
    <w:p w:rsidR="00000000" w:rsidDel="00000000" w:rsidP="00000000" w:rsidRDefault="00000000" w:rsidRPr="00000000" w14:paraId="000000A1">
      <w:pPr>
        <w:ind w:left="2160" w:firstLine="0"/>
        <w:rPr/>
      </w:pPr>
      <w:r w:rsidDel="00000000" w:rsidR="00000000" w:rsidRPr="00000000">
        <w:rPr>
          <w:rtl w:val="0"/>
        </w:rPr>
      </w:r>
    </w:p>
    <w:p w:rsidR="00000000" w:rsidDel="00000000" w:rsidP="00000000" w:rsidRDefault="00000000" w:rsidRPr="00000000" w14:paraId="000000A2">
      <w:pPr>
        <w:pStyle w:val="Heading4"/>
        <w:numPr>
          <w:ilvl w:val="1"/>
          <w:numId w:val="4"/>
        </w:numPr>
        <w:ind w:left="1440" w:hanging="360"/>
      </w:pPr>
      <w:bookmarkStart w:colFirst="0" w:colLast="0" w:name="_wkh2dql5sr4b" w:id="15"/>
      <w:bookmarkEnd w:id="15"/>
      <w:r w:rsidDel="00000000" w:rsidR="00000000" w:rsidRPr="00000000">
        <w:rPr>
          <w:rtl w:val="0"/>
        </w:rPr>
        <w:t xml:space="preserve">Configuration Management</w:t>
      </w:r>
    </w:p>
    <w:p w:rsidR="00000000" w:rsidDel="00000000" w:rsidP="00000000" w:rsidRDefault="00000000" w:rsidRPr="00000000" w14:paraId="000000A3">
      <w:pPr>
        <w:ind w:left="1440" w:firstLine="0"/>
        <w:rPr/>
      </w:pPr>
      <w:r w:rsidDel="00000000" w:rsidR="00000000" w:rsidRPr="00000000">
        <w:rPr>
          <w:rtl w:val="0"/>
        </w:rPr>
        <w:t xml:space="preserve">The [responsible party] shall:</w:t>
      </w:r>
    </w:p>
    <w:p w:rsidR="00000000" w:rsidDel="00000000" w:rsidP="00000000" w:rsidRDefault="00000000" w:rsidRPr="00000000" w14:paraId="000000A4">
      <w:pPr>
        <w:numPr>
          <w:ilvl w:val="2"/>
          <w:numId w:val="4"/>
        </w:numPr>
        <w:ind w:left="2160" w:hanging="360"/>
      </w:pPr>
      <w:r w:rsidDel="00000000" w:rsidR="00000000" w:rsidRPr="00000000">
        <w:rPr>
          <w:rtl w:val="0"/>
        </w:rPr>
        <w:t xml:space="preserve">Grant administrative privileges only to those accounts that require them for their job functions.</w:t>
      </w:r>
    </w:p>
    <w:p w:rsidR="00000000" w:rsidDel="00000000" w:rsidP="00000000" w:rsidRDefault="00000000" w:rsidRPr="00000000" w14:paraId="000000A5">
      <w:pPr>
        <w:numPr>
          <w:ilvl w:val="2"/>
          <w:numId w:val="4"/>
        </w:numPr>
        <w:ind w:left="2160" w:hanging="360"/>
      </w:pPr>
      <w:r w:rsidDel="00000000" w:rsidR="00000000" w:rsidRPr="00000000">
        <w:rPr>
          <w:rtl w:val="0"/>
        </w:rPr>
        <w:t xml:space="preserve">Review and adjust privileges regularly to ensure the principle of least privilege is maintained.</w:t>
      </w:r>
    </w:p>
    <w:p w:rsidR="00000000" w:rsidDel="00000000" w:rsidP="00000000" w:rsidRDefault="00000000" w:rsidRPr="00000000" w14:paraId="000000A6">
      <w:pPr>
        <w:numPr>
          <w:ilvl w:val="2"/>
          <w:numId w:val="4"/>
        </w:numPr>
        <w:ind w:left="2160" w:hanging="360"/>
      </w:pPr>
      <w:r w:rsidDel="00000000" w:rsidR="00000000" w:rsidRPr="00000000">
        <w:rPr>
          <w:rtl w:val="0"/>
        </w:rPr>
        <w:t xml:space="preserve">Restrict access to administrative tools, scripts, and services to authorized personnel only.</w:t>
      </w:r>
    </w:p>
    <w:p w:rsidR="00000000" w:rsidDel="00000000" w:rsidP="00000000" w:rsidRDefault="00000000" w:rsidRPr="00000000" w14:paraId="000000A7">
      <w:pPr>
        <w:numPr>
          <w:ilvl w:val="2"/>
          <w:numId w:val="4"/>
        </w:numPr>
        <w:ind w:left="2160" w:hanging="360"/>
      </w:pPr>
      <w:r w:rsidDel="00000000" w:rsidR="00000000" w:rsidRPr="00000000">
        <w:rPr>
          <w:rtl w:val="0"/>
        </w:rPr>
        <w:t xml:space="preserve">Use dedicated service accounts to run application services, ensuring these accounts have the minimum necessary privileges.</w:t>
      </w:r>
    </w:p>
    <w:p w:rsidR="00000000" w:rsidDel="00000000" w:rsidP="00000000" w:rsidRDefault="00000000" w:rsidRPr="00000000" w14:paraId="000000A8">
      <w:pPr>
        <w:numPr>
          <w:ilvl w:val="2"/>
          <w:numId w:val="4"/>
        </w:numPr>
        <w:ind w:left="2160" w:hanging="360"/>
      </w:pPr>
      <w:r w:rsidDel="00000000" w:rsidR="00000000" w:rsidRPr="00000000">
        <w:rPr>
          <w:rtl w:val="0"/>
        </w:rPr>
        <w:t xml:space="preserve">Regularly review service accounts and their privileges, updating or deactivating accounts as needed.</w:t>
      </w:r>
    </w:p>
    <w:p w:rsidR="00000000" w:rsidDel="00000000" w:rsidP="00000000" w:rsidRDefault="00000000" w:rsidRPr="00000000" w14:paraId="000000A9">
      <w:pPr>
        <w:ind w:left="2160" w:firstLine="0"/>
        <w:rPr/>
      </w:pPr>
      <w:r w:rsidDel="00000000" w:rsidR="00000000" w:rsidRPr="00000000">
        <w:rPr>
          <w:rtl w:val="0"/>
        </w:rPr>
      </w:r>
    </w:p>
    <w:p w:rsidR="00000000" w:rsidDel="00000000" w:rsidP="00000000" w:rsidRDefault="00000000" w:rsidRPr="00000000" w14:paraId="000000AA">
      <w:pPr>
        <w:pStyle w:val="Heading4"/>
        <w:numPr>
          <w:ilvl w:val="1"/>
          <w:numId w:val="4"/>
        </w:numPr>
        <w:ind w:left="1440" w:hanging="360"/>
      </w:pPr>
      <w:bookmarkStart w:colFirst="0" w:colLast="0" w:name="_uh8e03qal2lk" w:id="16"/>
      <w:bookmarkEnd w:id="16"/>
      <w:r w:rsidDel="00000000" w:rsidR="00000000" w:rsidRPr="00000000">
        <w:rPr>
          <w:rtl w:val="0"/>
        </w:rPr>
        <w:t xml:space="preserve">Availability and Capacity</w:t>
      </w:r>
    </w:p>
    <w:p w:rsidR="00000000" w:rsidDel="00000000" w:rsidP="00000000" w:rsidRDefault="00000000" w:rsidRPr="00000000" w14:paraId="000000AB">
      <w:pPr>
        <w:ind w:left="1440" w:firstLine="0"/>
        <w:rPr/>
      </w:pPr>
      <w:r w:rsidDel="00000000" w:rsidR="00000000" w:rsidRPr="00000000">
        <w:rPr>
          <w:rtl w:val="0"/>
        </w:rPr>
        <w:t xml:space="preserve">The [responsible party] is required to:</w:t>
      </w:r>
    </w:p>
    <w:p w:rsidR="00000000" w:rsidDel="00000000" w:rsidP="00000000" w:rsidRDefault="00000000" w:rsidRPr="00000000" w14:paraId="000000AC">
      <w:pPr>
        <w:numPr>
          <w:ilvl w:val="2"/>
          <w:numId w:val="4"/>
        </w:numPr>
        <w:ind w:left="2160" w:hanging="360"/>
      </w:pPr>
      <w:r w:rsidDel="00000000" w:rsidR="00000000" w:rsidRPr="00000000">
        <w:rPr>
          <w:rtl w:val="0"/>
        </w:rPr>
        <w:t xml:space="preserve">Monitor and manage the costs associated with configuration management and system maintenance.</w:t>
      </w:r>
    </w:p>
    <w:p w:rsidR="00000000" w:rsidDel="00000000" w:rsidP="00000000" w:rsidRDefault="00000000" w:rsidRPr="00000000" w14:paraId="000000AD">
      <w:pPr>
        <w:numPr>
          <w:ilvl w:val="2"/>
          <w:numId w:val="4"/>
        </w:numPr>
        <w:ind w:left="2160" w:hanging="360"/>
      </w:pPr>
      <w:r w:rsidDel="00000000" w:rsidR="00000000" w:rsidRPr="00000000">
        <w:rPr>
          <w:rtl w:val="0"/>
        </w:rPr>
        <w:t xml:space="preserve">Regularly assess and adjust system services and data storage capacity to meet current and projected needs and optimize performance.</w:t>
      </w:r>
    </w:p>
    <w:p w:rsidR="00000000" w:rsidDel="00000000" w:rsidP="00000000" w:rsidRDefault="00000000" w:rsidRPr="00000000" w14:paraId="000000AE">
      <w:pPr>
        <w:numPr>
          <w:ilvl w:val="2"/>
          <w:numId w:val="4"/>
        </w:numPr>
        <w:ind w:left="2160" w:hanging="360"/>
      </w:pPr>
      <w:r w:rsidDel="00000000" w:rsidR="00000000" w:rsidRPr="00000000">
        <w:rPr>
          <w:rtl w:val="0"/>
        </w:rPr>
        <w:t xml:space="preserve">When applicable, plan and implement scalable and elastic system configurations to accommodate growth and changing operational demands.</w:t>
      </w:r>
    </w:p>
    <w:p w:rsidR="00000000" w:rsidDel="00000000" w:rsidP="00000000" w:rsidRDefault="00000000" w:rsidRPr="00000000" w14:paraId="000000AF">
      <w:pPr>
        <w:numPr>
          <w:ilvl w:val="2"/>
          <w:numId w:val="4"/>
        </w:numPr>
        <w:ind w:left="2160" w:hanging="360"/>
      </w:pPr>
      <w:r w:rsidDel="00000000" w:rsidR="00000000" w:rsidRPr="00000000">
        <w:rPr>
          <w:rtl w:val="0"/>
        </w:rPr>
        <w:t xml:space="preserve">Consider the location of data and processing (on-prem, hybrid, private cloud, community cloud, etc) to maximize cost-effectiveness</w:t>
      </w:r>
    </w:p>
    <w:p w:rsidR="00000000" w:rsidDel="00000000" w:rsidP="00000000" w:rsidRDefault="00000000" w:rsidRPr="00000000" w14:paraId="000000B0">
      <w:pPr>
        <w:numPr>
          <w:ilvl w:val="2"/>
          <w:numId w:val="4"/>
        </w:numPr>
        <w:ind w:left="2160" w:hanging="360"/>
      </w:pPr>
      <w:r w:rsidDel="00000000" w:rsidR="00000000" w:rsidRPr="00000000">
        <w:rPr>
          <w:rtl w:val="0"/>
        </w:rPr>
        <w:t xml:space="preserve">Implement configurations that cost-effectively meet the availability and capacity requirements of system services and data storage</w:t>
      </w:r>
    </w:p>
    <w:p w:rsidR="00000000" w:rsidDel="00000000" w:rsidP="00000000" w:rsidRDefault="00000000" w:rsidRPr="00000000" w14:paraId="000000B1">
      <w:pPr>
        <w:numPr>
          <w:ilvl w:val="2"/>
          <w:numId w:val="4"/>
        </w:numPr>
        <w:ind w:left="2160" w:hanging="360"/>
      </w:pPr>
      <w:r w:rsidDel="00000000" w:rsidR="00000000" w:rsidRPr="00000000">
        <w:rPr>
          <w:rtl w:val="0"/>
        </w:rPr>
        <w:t xml:space="preserve">Employ redundancy and failover mechanisms to ensure continuous availability of critical systems in the event of hardware or software failures.</w:t>
      </w:r>
    </w:p>
    <w:p w:rsidR="00000000" w:rsidDel="00000000" w:rsidP="00000000" w:rsidRDefault="00000000" w:rsidRPr="00000000" w14:paraId="000000B2">
      <w:pPr>
        <w:numPr>
          <w:ilvl w:val="2"/>
          <w:numId w:val="4"/>
        </w:numPr>
        <w:ind w:left="2160" w:hanging="360"/>
      </w:pPr>
      <w:r w:rsidDel="00000000" w:rsidR="00000000" w:rsidRPr="00000000">
        <w:rPr>
          <w:rtl w:val="0"/>
        </w:rPr>
        <w:t xml:space="preserve">Configure systems to meet quality and performance standards as defined by organizational policies and industry best practices.</w:t>
      </w:r>
    </w:p>
    <w:p w:rsidR="00000000" w:rsidDel="00000000" w:rsidP="00000000" w:rsidRDefault="00000000" w:rsidRPr="00000000" w14:paraId="000000B3">
      <w:pPr>
        <w:ind w:left="450" w:firstLine="0"/>
        <w:rPr/>
      </w:pPr>
      <w:r w:rsidDel="00000000" w:rsidR="00000000" w:rsidRPr="00000000">
        <w:rPr>
          <w:rtl w:val="0"/>
        </w:rPr>
      </w:r>
    </w:p>
    <w:p w:rsidR="00000000" w:rsidDel="00000000" w:rsidP="00000000" w:rsidRDefault="00000000" w:rsidRPr="00000000" w14:paraId="000000B4">
      <w:pPr>
        <w:pStyle w:val="Heading2"/>
        <w:numPr>
          <w:ilvl w:val="0"/>
          <w:numId w:val="4"/>
        </w:numPr>
        <w:spacing w:after="0" w:afterAutospacing="0"/>
        <w:ind w:left="450" w:hanging="360"/>
        <w:rPr>
          <w:b w:val="0"/>
        </w:rPr>
      </w:pPr>
      <w:bookmarkStart w:colFirst="0" w:colLast="0" w:name="_mfhounx310os" w:id="17"/>
      <w:bookmarkEnd w:id="17"/>
      <w:r w:rsidDel="00000000" w:rsidR="00000000" w:rsidRPr="00000000">
        <w:rPr>
          <w:b w:val="0"/>
          <w:rtl w:val="0"/>
        </w:rPr>
        <w:t xml:space="preserve">Policy exemptions</w:t>
      </w:r>
    </w:p>
    <w:p w:rsidR="00000000" w:rsidDel="00000000" w:rsidP="00000000" w:rsidRDefault="00000000" w:rsidRPr="00000000" w14:paraId="000000B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B6">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B7">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B8">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9">
      <w:pPr>
        <w:pStyle w:val="Heading2"/>
        <w:numPr>
          <w:ilvl w:val="0"/>
          <w:numId w:val="4"/>
        </w:numPr>
        <w:spacing w:after="0" w:afterAutospacing="0"/>
        <w:ind w:left="450" w:hanging="360"/>
        <w:rPr>
          <w:b w:val="0"/>
        </w:rPr>
      </w:pPr>
      <w:bookmarkStart w:colFirst="0" w:colLast="0" w:name="_foccf34abv73" w:id="18"/>
      <w:bookmarkEnd w:id="18"/>
      <w:r w:rsidDel="00000000" w:rsidR="00000000" w:rsidRPr="00000000">
        <w:rPr>
          <w:b w:val="0"/>
          <w:rtl w:val="0"/>
        </w:rPr>
        <w:t xml:space="preserve">Related documents</w:t>
      </w:r>
    </w:p>
    <w:p w:rsidR="00000000" w:rsidDel="00000000" w:rsidP="00000000" w:rsidRDefault="00000000" w:rsidRPr="00000000" w14:paraId="000000BA">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BB">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BC">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BD">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BE">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BF">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C0">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C1">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C2">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3">
      <w:pPr>
        <w:pStyle w:val="Heading2"/>
        <w:numPr>
          <w:ilvl w:val="0"/>
          <w:numId w:val="4"/>
        </w:numPr>
        <w:spacing w:after="0" w:afterAutospacing="0"/>
        <w:ind w:left="450" w:hanging="360"/>
        <w:rPr>
          <w:b w:val="0"/>
        </w:rPr>
      </w:pPr>
      <w:bookmarkStart w:colFirst="0" w:colLast="0" w:name="_utfgx2qf4we1" w:id="19"/>
      <w:bookmarkEnd w:id="19"/>
      <w:r w:rsidDel="00000000" w:rsidR="00000000" w:rsidRPr="00000000">
        <w:rPr>
          <w:b w:val="0"/>
          <w:rtl w:val="0"/>
        </w:rPr>
        <w:t xml:space="preserve">Revision history</w:t>
      </w:r>
    </w:p>
    <w:p w:rsidR="00000000" w:rsidDel="00000000" w:rsidP="00000000" w:rsidRDefault="00000000" w:rsidRPr="00000000" w14:paraId="000000C4">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C5">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C6">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C7">
      <w:pPr>
        <w:numPr>
          <w:ilvl w:val="2"/>
          <w:numId w:val="4"/>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C8">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C9">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left="0" w:firstLine="0"/>
              <w:jc w:val="center"/>
              <w:rPr>
                <w:b w:val="1"/>
              </w:rPr>
            </w:pPr>
            <w:r w:rsidDel="00000000" w:rsidR="00000000" w:rsidRPr="00000000">
              <w:rPr>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0" w:firstLine="0"/>
              <w:jc w:val="center"/>
              <w:rPr>
                <w:b w:val="1"/>
              </w:rPr>
            </w:pPr>
            <w:r w:rsidDel="00000000" w:rsidR="00000000" w:rsidRPr="00000000">
              <w:rPr>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ind w:left="0" w:firstLine="0"/>
              <w:jc w:val="center"/>
              <w:rPr>
                <w:b w:val="1"/>
              </w:rPr>
            </w:pPr>
            <w:r w:rsidDel="00000000" w:rsidR="00000000" w:rsidRPr="00000000">
              <w:rPr>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ind w:left="0" w:firstLine="0"/>
              <w:jc w:val="center"/>
              <w:rPr>
                <w:b w:val="1"/>
              </w:rPr>
            </w:pPr>
            <w:r w:rsidDel="00000000" w:rsidR="00000000" w:rsidRPr="00000000">
              <w:rPr>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left="0" w:firstLine="0"/>
              <w:jc w:val="center"/>
              <w:rPr>
                <w:b w:val="1"/>
              </w:rPr>
            </w:pPr>
            <w:r w:rsidDel="00000000" w:rsidR="00000000" w:rsidRPr="00000000">
              <w:rPr>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0" w:firstLine="0"/>
              <w:jc w:val="center"/>
              <w:rPr>
                <w:b w:val="1"/>
              </w:rPr>
            </w:pPr>
            <w:r w:rsidDel="00000000" w:rsidR="00000000" w:rsidRPr="00000000">
              <w:rPr>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D6">
      <w:pPr>
        <w:pStyle w:val="Heading2"/>
        <w:numPr>
          <w:ilvl w:val="0"/>
          <w:numId w:val="4"/>
        </w:numPr>
        <w:ind w:left="450" w:hanging="360"/>
        <w:rPr>
          <w:b w:val="0"/>
        </w:rPr>
      </w:pPr>
      <w:bookmarkStart w:colFirst="0" w:colLast="0" w:name="_hfvfegy1vaeq" w:id="20"/>
      <w:bookmarkEnd w:id="20"/>
      <w:r w:rsidDel="00000000" w:rsidR="00000000" w:rsidRPr="00000000">
        <w:rPr>
          <w:b w:val="0"/>
          <w:rtl w:val="0"/>
        </w:rPr>
        <w:t xml:space="preserve">Approval history</w:t>
      </w:r>
    </w:p>
    <w:p w:rsidR="00000000" w:rsidDel="00000000" w:rsidP="00000000" w:rsidRDefault="00000000" w:rsidRPr="00000000" w14:paraId="000000D7">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E2">
      <w:pPr>
        <w:rPr>
          <w:rFonts w:ascii="Epilogue" w:cs="Epilogue" w:eastAsia="Epilogue" w:hAnsi="Epilogue"/>
        </w:rPr>
      </w:pPr>
      <w:r w:rsidDel="00000000" w:rsidR="00000000" w:rsidRPr="00000000">
        <w:rPr>
          <w:rtl w:val="0"/>
        </w:rPr>
      </w:r>
    </w:p>
    <w:p w:rsidR="00000000" w:rsidDel="00000000" w:rsidP="00000000" w:rsidRDefault="00000000" w:rsidRPr="00000000" w14:paraId="000000E3">
      <w:pPr>
        <w:rPr>
          <w:rFonts w:ascii="Epilogue" w:cs="Epilogue" w:eastAsia="Epilogue" w:hAnsi="Epilogue"/>
        </w:rPr>
      </w:pPr>
      <w:r w:rsidDel="00000000" w:rsidR="00000000" w:rsidRPr="00000000">
        <w:rPr>
          <w:rtl w:val="0"/>
        </w:rPr>
      </w:r>
    </w:p>
    <w:sectPr>
      <w:headerReference r:id="rId10" w:type="default"/>
      <w:footerReference r:id="rId11" w:type="default"/>
      <w:footerReference r:id="rId12"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sz w:val="20"/>
        <w:szCs w:val="20"/>
      </w:rPr>
    </w:pP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5">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0F6">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0F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pilogue" w:cs="Epilogue" w:eastAsia="Epilogue" w:hAnsi="Epilogue"/>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csrc.nist.gov/pubs/sp/800/128/upd1/final" TargetMode="External"/><Relationship Id="rId5" Type="http://schemas.openxmlformats.org/officeDocument/2006/relationships/styles" Target="styles.xml"/><Relationship Id="rId6" Type="http://schemas.openxmlformats.org/officeDocument/2006/relationships/hyperlink" Target="https://www.cisecurity.org/cis-benchmarks" TargetMode="External"/><Relationship Id="rId7" Type="http://schemas.openxmlformats.org/officeDocument/2006/relationships/hyperlink" Target="https://www.iso.org/obp/ui/#iso:std:iso:10007:ed-3:v1:en" TargetMode="External"/><Relationship Id="rId8" Type="http://schemas.openxmlformats.org/officeDocument/2006/relationships/hyperlink" Target="https://www.iso.org/obp/ui/#iso:std:iso-iec:29146:ed-2:v1: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