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[Document Title]</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ind w:left="360" w:firstLine="0"/>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requirements.</w:t>
      </w:r>
    </w:p>
    <w:p w:rsidR="00000000" w:rsidDel="00000000" w:rsidP="00000000" w:rsidRDefault="00000000" w:rsidRPr="00000000" w14:paraId="00000009">
      <w:pPr>
        <w:pStyle w:val="Heading3"/>
        <w:rPr>
          <w:rFonts w:ascii="Epilogue" w:cs="Epilogue" w:eastAsia="Epilogue" w:hAnsi="Epilogue"/>
          <w:b w:val="0"/>
        </w:rPr>
      </w:pPr>
      <w:bookmarkStart w:colFirst="0" w:colLast="0" w:name="_r1cbqv346q9" w:id="2"/>
      <w:bookmarkEnd w:id="2"/>
      <w:r w:rsidDel="00000000" w:rsidR="00000000" w:rsidRPr="00000000">
        <w:rPr>
          <w:rFonts w:ascii="Epilogue" w:cs="Epilogue" w:eastAsia="Epilogue" w:hAnsi="Epilogue"/>
          <w:b w:val="0"/>
          <w:rtl w:val="0"/>
        </w:rPr>
        <w:t xml:space="preserve">Security boundary under scope</w:t>
      </w:r>
    </w:p>
    <w:p w:rsidR="00000000" w:rsidDel="00000000" w:rsidP="00000000" w:rsidRDefault="00000000" w:rsidRPr="00000000" w14:paraId="0000000A">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rFonts w:ascii="Epilogue" w:cs="Epilogue" w:eastAsia="Epilogue" w:hAnsi="Epilogue"/>
          <w:b w:val="0"/>
        </w:rPr>
      </w:pPr>
      <w:bookmarkStart w:colFirst="0" w:colLast="0" w:name="_camm0ogrqnrn" w:id="3"/>
      <w:bookmarkEnd w:id="3"/>
      <w:r w:rsidDel="00000000" w:rsidR="00000000" w:rsidRPr="00000000">
        <w:rPr>
          <w:rFonts w:ascii="Epilogue" w:cs="Epilogue" w:eastAsia="Epilogue" w:hAnsi="Epilogue"/>
          <w:b w:val="0"/>
          <w:rtl w:val="0"/>
        </w:rPr>
        <w:t xml:space="preserve">References</w:t>
      </w:r>
    </w:p>
    <w:p w:rsidR="00000000" w:rsidDel="00000000" w:rsidP="00000000" w:rsidRDefault="00000000" w:rsidRPr="00000000" w14:paraId="0000000D">
      <w:pPr>
        <w:numPr>
          <w:ilvl w:val="0"/>
          <w:numId w:val="1"/>
        </w:numPr>
        <w:rPr>
          <w:rFonts w:ascii="Epilogue" w:cs="Epilogue" w:eastAsia="Epilogue" w:hAnsi="Epilogue"/>
        </w:rPr>
      </w:pPr>
      <w:r w:rsidDel="00000000" w:rsidR="00000000" w:rsidRPr="00000000">
        <w:rPr>
          <w:rFonts w:ascii="Epilogue" w:cs="Epilogue" w:eastAsia="Epilogue" w:hAnsi="Epilogue"/>
          <w:rtl w:val="0"/>
        </w:rPr>
        <w:t xml:space="preserve">[List of ap</w:t>
      </w:r>
      <w:r w:rsidDel="00000000" w:rsidR="00000000" w:rsidRPr="00000000">
        <w:rPr>
          <w:rtl w:val="0"/>
        </w:rPr>
        <w:t xml:space="preserve">plicable comp</w:t>
      </w:r>
      <w:r w:rsidDel="00000000" w:rsidR="00000000" w:rsidRPr="00000000">
        <w:rPr>
          <w:rFonts w:ascii="Epilogue" w:cs="Epilogue" w:eastAsia="Epilogue" w:hAnsi="Epilogue"/>
          <w:rtl w:val="0"/>
        </w:rPr>
        <w:t xml:space="preserve">liance frameworks and requirements]</w:t>
      </w:r>
    </w:p>
    <w:p w:rsidR="00000000" w:rsidDel="00000000" w:rsidP="00000000" w:rsidRDefault="00000000" w:rsidRPr="00000000" w14:paraId="0000000E">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0F">
      <w:pPr>
        <w:pStyle w:val="Heading2"/>
        <w:numPr>
          <w:ilvl w:val="0"/>
          <w:numId w:val="4"/>
        </w:numPr>
        <w:rPr>
          <w:b w:val="0"/>
          <w:color w:val="0b5394"/>
        </w:rPr>
      </w:pPr>
      <w:bookmarkStart w:colFirst="0" w:colLast="0" w:name="_442l56krye8" w:id="4"/>
      <w:bookmarkEnd w:id="4"/>
      <w:r w:rsidDel="00000000" w:rsidR="00000000" w:rsidRPr="00000000">
        <w:rPr>
          <w:b w:val="0"/>
          <w:rtl w:val="0"/>
        </w:rPr>
        <w:t xml:space="preserve">Document ownership</w:t>
      </w:r>
      <w:r w:rsidDel="00000000" w:rsidR="00000000" w:rsidRPr="00000000">
        <w:rPr>
          <w:rtl w:val="0"/>
        </w:rPr>
      </w:r>
    </w:p>
    <w:p w:rsidR="00000000" w:rsidDel="00000000" w:rsidP="00000000" w:rsidRDefault="00000000" w:rsidRPr="00000000" w14:paraId="00000010">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13">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1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1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1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1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1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1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1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1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1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1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1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1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2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2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2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1">
      <w:pPr>
        <w:rPr>
          <w:rFonts w:ascii="Epilogue" w:cs="Epilogue" w:eastAsia="Epilogue" w:hAnsi="Epilogue"/>
        </w:rPr>
      </w:pPr>
      <w:r w:rsidDel="00000000" w:rsidR="00000000" w:rsidRPr="00000000">
        <w:rPr>
          <w:rtl w:val="0"/>
        </w:rPr>
      </w:r>
    </w:p>
    <w:p w:rsidR="00000000" w:rsidDel="00000000" w:rsidP="00000000" w:rsidRDefault="00000000" w:rsidRPr="00000000" w14:paraId="00000032">
      <w:pPr>
        <w:pStyle w:val="Heading2"/>
        <w:numPr>
          <w:ilvl w:val="0"/>
          <w:numId w:val="4"/>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33">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34">
      <w:pPr>
        <w:pStyle w:val="Heading2"/>
        <w:numPr>
          <w:ilvl w:val="0"/>
          <w:numId w:val="4"/>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35">
      <w:pPr>
        <w:ind w:left="720" w:firstLine="0"/>
        <w:rPr>
          <w:rFonts w:ascii="Epilogue" w:cs="Epilogue" w:eastAsia="Epilogue" w:hAnsi="Epilogue"/>
        </w:rPr>
      </w:pPr>
      <w:r w:rsidDel="00000000" w:rsidR="00000000" w:rsidRPr="00000000">
        <w:rPr>
          <w:rFonts w:ascii="Epilogue" w:cs="Epilogue" w:eastAsia="Epilogue" w:hAnsi="Epilogue"/>
          <w:rtl w:val="0"/>
        </w:rPr>
        <w:t xml:space="preserve">[description of scope]</w:t>
      </w:r>
    </w:p>
    <w:p w:rsidR="00000000" w:rsidDel="00000000" w:rsidP="00000000" w:rsidRDefault="00000000" w:rsidRPr="00000000" w14:paraId="00000036">
      <w:pPr>
        <w:pStyle w:val="Heading2"/>
        <w:numPr>
          <w:ilvl w:val="0"/>
          <w:numId w:val="4"/>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37">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38">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0"/>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39">
            <w:pPr>
              <w:widowControl w:val="0"/>
              <w:spacing w:line="276" w:lineRule="auto"/>
              <w:rPr>
                <w:rFonts w:ascii="Epilogue" w:cs="Epilogue" w:eastAsia="Epilogue" w:hAnsi="Epilogue"/>
              </w:rPr>
            </w:pPr>
            <w:r w:rsidDel="00000000" w:rsidR="00000000" w:rsidRPr="00000000">
              <w:rPr>
                <w:rFonts w:ascii="Epilogue" w:cs="Epilogue" w:eastAsia="Epilogue" w:hAnsi="Epilogue"/>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3A">
            <w:pPr>
              <w:widowControl w:val="0"/>
              <w:spacing w:line="276" w:lineRule="auto"/>
              <w:rPr>
                <w:rFonts w:ascii="Epilogue" w:cs="Epilogue" w:eastAsia="Epilogue" w:hAnsi="Epilogue"/>
              </w:rPr>
            </w:pPr>
            <w:r w:rsidDel="00000000" w:rsidR="00000000" w:rsidRPr="00000000">
              <w:rPr>
                <w:rFonts w:ascii="Epilogue" w:cs="Epilogue" w:eastAsia="Epilogue" w:hAnsi="Epilogue"/>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3B">
            <w:pPr>
              <w:widowControl w:val="0"/>
              <w:spacing w:line="276" w:lineRule="auto"/>
              <w:rPr>
                <w:rFonts w:ascii="Epilogue" w:cs="Epilogue" w:eastAsia="Epilogue" w:hAnsi="Epilogue"/>
              </w:rPr>
            </w:pPr>
            <w:r w:rsidDel="00000000" w:rsidR="00000000" w:rsidRPr="00000000">
              <w:rPr>
                <w:rFonts w:ascii="Epilogue" w:cs="Epilogue" w:eastAsia="Epilogue" w:hAnsi="Epilogue"/>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widowControl w:val="0"/>
              <w:spacing w:line="276" w:lineRule="auto"/>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9">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4A">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58">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59">
      <w:pPr>
        <w:pStyle w:val="Heading2"/>
        <w:numPr>
          <w:ilvl w:val="0"/>
          <w:numId w:val="4"/>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5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5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5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5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5E">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5F">
      <w:pPr>
        <w:pStyle w:val="Heading2"/>
        <w:numPr>
          <w:ilvl w:val="0"/>
          <w:numId w:val="4"/>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60">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61">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62">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63">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64">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65">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6">
      <w:pPr>
        <w:pStyle w:val="Heading2"/>
        <w:numPr>
          <w:ilvl w:val="0"/>
          <w:numId w:val="4"/>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6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6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69">
      <w:pPr>
        <w:rPr>
          <w:rFonts w:ascii="Epilogue" w:cs="Epilogue" w:eastAsia="Epilogue" w:hAnsi="Epilogue"/>
        </w:rPr>
      </w:pPr>
      <w:r w:rsidDel="00000000" w:rsidR="00000000" w:rsidRPr="00000000">
        <w:rPr>
          <w:rtl w:val="0"/>
        </w:rPr>
      </w:r>
    </w:p>
    <w:p w:rsidR="00000000" w:rsidDel="00000000" w:rsidP="00000000" w:rsidRDefault="00000000" w:rsidRPr="00000000" w14:paraId="0000006A">
      <w:pPr>
        <w:pStyle w:val="Heading2"/>
        <w:numPr>
          <w:ilvl w:val="0"/>
          <w:numId w:val="4"/>
        </w:numPr>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6B">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C">
      <w:pPr>
        <w:pStyle w:val="Heading2"/>
        <w:numPr>
          <w:ilvl w:val="0"/>
          <w:numId w:val="4"/>
        </w:numPr>
        <w:ind w:left="450" w:hanging="360"/>
        <w:rPr>
          <w:b w:val="0"/>
          <w:sz w:val="32"/>
          <w:szCs w:val="32"/>
        </w:rPr>
      </w:pPr>
      <w:bookmarkStart w:colFirst="0" w:colLast="0" w:name="_qmz0pd6bf72j" w:id="12"/>
      <w:bookmarkEnd w:id="12"/>
      <w:r w:rsidDel="00000000" w:rsidR="00000000" w:rsidRPr="00000000">
        <w:rPr>
          <w:b w:val="0"/>
          <w:rtl w:val="0"/>
        </w:rPr>
        <w:t xml:space="preserve">Policy</w:t>
      </w:r>
    </w:p>
    <w:p w:rsidR="00000000" w:rsidDel="00000000" w:rsidP="00000000" w:rsidRDefault="00000000" w:rsidRPr="00000000" w14:paraId="0000006D">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E">
      <w:pPr>
        <w:pStyle w:val="Heading2"/>
        <w:numPr>
          <w:ilvl w:val="0"/>
          <w:numId w:val="4"/>
        </w:numPr>
        <w:spacing w:after="0" w:afterAutospacing="0"/>
        <w:ind w:left="450" w:hanging="360"/>
        <w:rPr>
          <w:b w:val="0"/>
        </w:rPr>
      </w:pPr>
      <w:bookmarkStart w:colFirst="0" w:colLast="0" w:name="_mfhounx310os" w:id="13"/>
      <w:bookmarkEnd w:id="13"/>
      <w:r w:rsidDel="00000000" w:rsidR="00000000" w:rsidRPr="00000000">
        <w:rPr>
          <w:b w:val="0"/>
          <w:rtl w:val="0"/>
        </w:rPr>
        <w:t xml:space="preserve">Policy exemptions</w:t>
      </w:r>
    </w:p>
    <w:p w:rsidR="00000000" w:rsidDel="00000000" w:rsidP="00000000" w:rsidRDefault="00000000" w:rsidRPr="00000000" w14:paraId="0000006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7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7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72">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3">
      <w:pPr>
        <w:pStyle w:val="Heading2"/>
        <w:numPr>
          <w:ilvl w:val="0"/>
          <w:numId w:val="4"/>
        </w:numPr>
        <w:spacing w:after="0" w:afterAutospacing="0"/>
        <w:ind w:left="450" w:hanging="360"/>
        <w:rPr>
          <w:b w:val="0"/>
        </w:rPr>
      </w:pPr>
      <w:bookmarkStart w:colFirst="0" w:colLast="0" w:name="_foccf34abv73" w:id="14"/>
      <w:bookmarkEnd w:id="14"/>
      <w:r w:rsidDel="00000000" w:rsidR="00000000" w:rsidRPr="00000000">
        <w:rPr>
          <w:b w:val="0"/>
          <w:rtl w:val="0"/>
        </w:rPr>
        <w:t xml:space="preserve">Related documents</w:t>
      </w:r>
    </w:p>
    <w:p w:rsidR="00000000" w:rsidDel="00000000" w:rsidP="00000000" w:rsidRDefault="00000000" w:rsidRPr="00000000" w14:paraId="00000074">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7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7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7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7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7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7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7B">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7C">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D">
      <w:pPr>
        <w:pStyle w:val="Heading2"/>
        <w:numPr>
          <w:ilvl w:val="0"/>
          <w:numId w:val="4"/>
        </w:numPr>
        <w:spacing w:after="0" w:afterAutospacing="0"/>
        <w:ind w:left="450" w:hanging="360"/>
        <w:rPr>
          <w:b w:val="0"/>
        </w:rPr>
      </w:pPr>
      <w:bookmarkStart w:colFirst="0" w:colLast="0" w:name="_utfgx2qf4we1" w:id="15"/>
      <w:bookmarkEnd w:id="15"/>
      <w:r w:rsidDel="00000000" w:rsidR="00000000" w:rsidRPr="00000000">
        <w:rPr>
          <w:b w:val="0"/>
          <w:rtl w:val="0"/>
        </w:rPr>
        <w:t xml:space="preserve">Revision history</w:t>
      </w:r>
    </w:p>
    <w:p w:rsidR="00000000" w:rsidDel="00000000" w:rsidP="00000000" w:rsidRDefault="00000000" w:rsidRPr="00000000" w14:paraId="0000007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7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8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8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82">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83">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Epilogue" w:cs="Epilogue" w:eastAsia="Epilogue" w:hAnsi="Epilogue"/>
              </w:rPr>
            </w:pPr>
            <w:r w:rsidDel="00000000" w:rsidR="00000000" w:rsidRPr="00000000">
              <w:rPr>
                <w:rFonts w:ascii="Epilogue" w:cs="Epilogue" w:eastAsia="Epilogue" w:hAnsi="Epilogue"/>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Epilogue" w:cs="Epilogue" w:eastAsia="Epilogue" w:hAnsi="Epilogue"/>
              </w:rPr>
            </w:pPr>
            <w:r w:rsidDel="00000000" w:rsidR="00000000" w:rsidRPr="00000000">
              <w:rPr>
                <w:rFonts w:ascii="Epilogue" w:cs="Epilogue" w:eastAsia="Epilogue" w:hAnsi="Epilogue"/>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Epilogue" w:cs="Epilogue" w:eastAsia="Epilogue" w:hAnsi="Epilogue"/>
              </w:rPr>
            </w:pPr>
            <w:r w:rsidDel="00000000" w:rsidR="00000000" w:rsidRPr="00000000">
              <w:rPr>
                <w:rFonts w:ascii="Epilogue" w:cs="Epilogue" w:eastAsia="Epilogue" w:hAnsi="Epilogue"/>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Epilogue" w:cs="Epilogue" w:eastAsia="Epilogue" w:hAnsi="Epilogue"/>
              </w:rPr>
            </w:pPr>
            <w:r w:rsidDel="00000000" w:rsidR="00000000" w:rsidRPr="00000000">
              <w:rPr>
                <w:rFonts w:ascii="Epilogue" w:cs="Epilogue" w:eastAsia="Epilogue" w:hAnsi="Epilogue"/>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Epilogue" w:cs="Epilogue" w:eastAsia="Epilogue" w:hAnsi="Epilogue"/>
              </w:rPr>
            </w:pPr>
            <w:r w:rsidDel="00000000" w:rsidR="00000000" w:rsidRPr="00000000">
              <w:rPr>
                <w:rFonts w:ascii="Epilogue" w:cs="Epilogue" w:eastAsia="Epilogue" w:hAnsi="Epilogue"/>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Epilogue" w:cs="Epilogue" w:eastAsia="Epilogue" w:hAnsi="Epilogue"/>
              </w:rPr>
            </w:pPr>
            <w:r w:rsidDel="00000000" w:rsidR="00000000" w:rsidRPr="00000000">
              <w:rPr>
                <w:rFonts w:ascii="Epilogue" w:cs="Epilogue" w:eastAsia="Epilogue" w:hAnsi="Epilogue"/>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90">
      <w:pPr>
        <w:pStyle w:val="Heading2"/>
        <w:numPr>
          <w:ilvl w:val="0"/>
          <w:numId w:val="4"/>
        </w:numPr>
        <w:ind w:left="450" w:hanging="360"/>
        <w:rPr>
          <w:b w:val="0"/>
        </w:rPr>
      </w:pPr>
      <w:bookmarkStart w:colFirst="0" w:colLast="0" w:name="_hfvfegy1vaeq" w:id="16"/>
      <w:bookmarkEnd w:id="16"/>
      <w:r w:rsidDel="00000000" w:rsidR="00000000" w:rsidRPr="00000000">
        <w:rPr>
          <w:b w:val="0"/>
          <w:rtl w:val="0"/>
        </w:rPr>
        <w:t xml:space="preserve">Approval history</w:t>
      </w:r>
    </w:p>
    <w:p w:rsidR="00000000" w:rsidDel="00000000" w:rsidP="00000000" w:rsidRDefault="00000000" w:rsidRPr="00000000" w14:paraId="00000091">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9C">
      <w:pPr>
        <w:rPr>
          <w:rFonts w:ascii="Epilogue" w:cs="Epilogue" w:eastAsia="Epilogue" w:hAnsi="Epilogue"/>
        </w:rPr>
      </w:pPr>
      <w:r w:rsidDel="00000000" w:rsidR="00000000" w:rsidRPr="00000000">
        <w:rPr>
          <w:rtl w:val="0"/>
        </w:rPr>
      </w:r>
    </w:p>
    <w:p w:rsidR="00000000" w:rsidDel="00000000" w:rsidP="00000000" w:rsidRDefault="00000000" w:rsidRPr="00000000" w14:paraId="0000009D">
      <w:pPr>
        <w:rPr>
          <w:rFonts w:ascii="Epilogue" w:cs="Epilogue" w:eastAsia="Epilogue" w:hAnsi="Epilogue"/>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F">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0B0">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0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pilogue" w:cs="Epilogue" w:eastAsia="Epilogue" w:hAnsi="Epilogue"/>
        <w:sz w:val="22"/>
        <w:szCs w:val="22"/>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