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Secure System Design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1"/>
        </w:numPr>
        <w:shd w:fill="ffffff" w:val="clear"/>
        <w:spacing w:after="0" w:afterAutospacing="0" w:before="240" w:lineRule="auto"/>
        <w:ind w:left="720" w:hanging="360"/>
        <w:rPr>
          <w:color w:val="1f212e"/>
          <w:sz w:val="21"/>
          <w:szCs w:val="21"/>
        </w:rPr>
      </w:pPr>
      <w:r w:rsidDel="00000000" w:rsidR="00000000" w:rsidRPr="00000000">
        <w:rPr>
          <w:color w:val="1f212e"/>
          <w:sz w:val="21"/>
          <w:szCs w:val="21"/>
          <w:rtl w:val="0"/>
        </w:rPr>
        <w:t xml:space="preserve">NIST 800-160:</w:t>
      </w:r>
      <w:hyperlink r:id="rId6">
        <w:r w:rsidDel="00000000" w:rsidR="00000000" w:rsidRPr="00000000">
          <w:rPr>
            <w:color w:val="1f212e"/>
            <w:sz w:val="21"/>
            <w:szCs w:val="21"/>
            <w:rtl w:val="0"/>
          </w:rPr>
          <w:t xml:space="preserve"> </w:t>
        </w:r>
      </w:hyperlink>
      <w:hyperlink r:id="rId7">
        <w:r w:rsidDel="00000000" w:rsidR="00000000" w:rsidRPr="00000000">
          <w:rPr>
            <w:color w:val="6270c6"/>
            <w:sz w:val="21"/>
            <w:szCs w:val="21"/>
            <w:rtl w:val="0"/>
          </w:rPr>
          <w:t xml:space="preserve">https://csrc.nist.gov/pubs/sp/800/160/v1/r1/final</w:t>
        </w:r>
      </w:hyperlink>
      <w:r w:rsidDel="00000000" w:rsidR="00000000" w:rsidRPr="00000000">
        <w:rPr>
          <w:rtl w:val="0"/>
        </w:rPr>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SP 800-207: </w:t>
      </w:r>
      <w:hyperlink r:id="rId8">
        <w:r w:rsidDel="00000000" w:rsidR="00000000" w:rsidRPr="00000000">
          <w:rPr>
            <w:color w:val="1155cc"/>
            <w:sz w:val="21"/>
            <w:szCs w:val="21"/>
            <w:u w:val="single"/>
            <w:rtl w:val="0"/>
          </w:rPr>
          <w:t xml:space="preserve">https://csrc.nist.gov/pubs/sp/800/207/final</w:t>
        </w:r>
      </w:hyperlink>
      <w:r w:rsidDel="00000000" w:rsidR="00000000" w:rsidRPr="00000000">
        <w:rPr>
          <w:color w:val="1f212e"/>
          <w:sz w:val="21"/>
          <w:szCs w:val="21"/>
          <w:rtl w:val="0"/>
        </w:rPr>
        <w:t xml:space="preserve"> </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SP 800-215: </w:t>
      </w:r>
      <w:hyperlink r:id="rId9">
        <w:r w:rsidDel="00000000" w:rsidR="00000000" w:rsidRPr="00000000">
          <w:rPr>
            <w:color w:val="1155cc"/>
            <w:sz w:val="21"/>
            <w:szCs w:val="21"/>
            <w:u w:val="single"/>
            <w:rtl w:val="0"/>
          </w:rPr>
          <w:t xml:space="preserve">https://csrc.nist.gov/pubs/sp/800/215/final</w:t>
        </w:r>
      </w:hyperlink>
      <w:r w:rsidDel="00000000" w:rsidR="00000000" w:rsidRPr="00000000">
        <w:rPr>
          <w:color w:val="1f212e"/>
          <w:sz w:val="21"/>
          <w:szCs w:val="21"/>
          <w:rtl w:val="0"/>
        </w:rPr>
        <w:t xml:space="preserve"> </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27034:</w:t>
      </w:r>
      <w:hyperlink r:id="rId10">
        <w:r w:rsidDel="00000000" w:rsidR="00000000" w:rsidRPr="00000000">
          <w:rPr>
            <w:color w:val="1f212e"/>
            <w:sz w:val="21"/>
            <w:szCs w:val="21"/>
            <w:rtl w:val="0"/>
          </w:rPr>
          <w:t xml:space="preserve"> </w:t>
        </w:r>
      </w:hyperlink>
      <w:hyperlink r:id="rId11">
        <w:r w:rsidDel="00000000" w:rsidR="00000000" w:rsidRPr="00000000">
          <w:rPr>
            <w:color w:val="6270c6"/>
            <w:sz w:val="21"/>
            <w:szCs w:val="21"/>
            <w:rtl w:val="0"/>
          </w:rPr>
          <w:t xml:space="preserve">https://www.iso.org/obp/ui/#iso:std:iso-iec:27034:-1:ed-1:v1:en</w:t>
        </w:r>
      </w:hyperlink>
      <w:r w:rsidDel="00000000" w:rsidR="00000000" w:rsidRPr="00000000">
        <w:rPr>
          <w:rtl w:val="0"/>
        </w:rPr>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27001:2022: A.8.21, A.8.22, A.8.25, A.8.26, A.8.27, A.8.31</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800-53 rev. 5: CM-5(5), CM-8, CM-8(1), CM-8(3), PL-2, PL-8, SA-4, SA-8, SA-15, SA-15(3), SC-2, SC-39</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CIS v8: 3.8, 12.2, 12.4, 13.4, 16.4, 16.8, 16.10, 16.11</w:t>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PCI DSS 4.0: 1.1.1, 1.2.1, 1.2.3, 1.2.4, </w:t>
      </w:r>
      <w:r w:rsidDel="00000000" w:rsidR="00000000" w:rsidRPr="00000000">
        <w:rPr>
          <w:color w:val="1f212e"/>
          <w:sz w:val="21"/>
          <w:szCs w:val="21"/>
          <w:highlight w:val="white"/>
          <w:rtl w:val="0"/>
        </w:rPr>
        <w:t xml:space="preserve">1.4.1, 1.4.2, 1.4.4, </w:t>
      </w:r>
      <w:r w:rsidDel="00000000" w:rsidR="00000000" w:rsidRPr="00000000">
        <w:rPr>
          <w:color w:val="1f212e"/>
          <w:sz w:val="21"/>
          <w:szCs w:val="21"/>
          <w:rtl w:val="0"/>
        </w:rPr>
        <w:t xml:space="preserve">1.4.5, 6.1.1, 6.3.2, 6.5.3, 6.5.4</w:t>
      </w:r>
    </w:p>
    <w:p w:rsidR="00000000" w:rsidDel="00000000" w:rsidP="00000000" w:rsidRDefault="00000000" w:rsidRPr="00000000" w14:paraId="00000015">
      <w:pPr>
        <w:numPr>
          <w:ilvl w:val="0"/>
          <w:numId w:val="1"/>
        </w:numPr>
        <w:shd w:fill="ffffff" w:val="clear"/>
        <w:spacing w:after="240" w:before="0" w:beforeAutospacing="0" w:lineRule="auto"/>
        <w:ind w:left="720" w:hanging="360"/>
        <w:rPr>
          <w:color w:val="1f212e"/>
          <w:sz w:val="21"/>
          <w:szCs w:val="21"/>
        </w:rPr>
      </w:pPr>
      <w:r w:rsidDel="00000000" w:rsidR="00000000" w:rsidRPr="00000000">
        <w:rPr>
          <w:color w:val="1f212e"/>
          <w:sz w:val="21"/>
          <w:szCs w:val="21"/>
          <w:rtl w:val="0"/>
        </w:rPr>
        <w:t xml:space="preserve">AICPA SOC 2 TSC: CC2.1, CC5.2, CC6.1, CC6.7, CC7.1, CC8.1, PI1.3</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pStyle w:val="Heading2"/>
        <w:numPr>
          <w:ilvl w:val="0"/>
          <w:numId w:val="5"/>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ab/>
        <w:t xml:space="preserve">&lt;(Choose from)&gt;</w:t>
      </w:r>
    </w:p>
    <w:p w:rsidR="00000000" w:rsidDel="00000000" w:rsidP="00000000" w:rsidRDefault="00000000" w:rsidRPr="00000000" w14:paraId="00000019">
      <w:pPr>
        <w:numPr>
          <w:ilvl w:val="1"/>
          <w:numId w:val="5"/>
        </w:numPr>
        <w:ind w:left="1440" w:hanging="360"/>
      </w:pPr>
      <w:r w:rsidDel="00000000" w:rsidR="00000000" w:rsidRPr="00000000">
        <w:rPr>
          <w:rtl w:val="0"/>
        </w:rPr>
        <w:t xml:space="preserve">Policy Owner: </w:t>
        <w:tab/>
      </w:r>
    </w:p>
    <w:p w:rsidR="00000000" w:rsidDel="00000000" w:rsidP="00000000" w:rsidRDefault="00000000" w:rsidRPr="00000000" w14:paraId="0000001A">
      <w:pPr>
        <w:numPr>
          <w:ilvl w:val="2"/>
          <w:numId w:val="5"/>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B">
      <w:pPr>
        <w:numPr>
          <w:ilvl w:val="1"/>
          <w:numId w:val="5"/>
        </w:numPr>
        <w:ind w:left="1440" w:hanging="360"/>
      </w:pPr>
      <w:r w:rsidDel="00000000" w:rsidR="00000000" w:rsidRPr="00000000">
        <w:rPr>
          <w:rtl w:val="0"/>
        </w:rPr>
        <w:t xml:space="preserve">Information Security Officer:</w:t>
      </w:r>
    </w:p>
    <w:p w:rsidR="00000000" w:rsidDel="00000000" w:rsidP="00000000" w:rsidRDefault="00000000" w:rsidRPr="00000000" w14:paraId="0000001C">
      <w:pPr>
        <w:numPr>
          <w:ilvl w:val="2"/>
          <w:numId w:val="5"/>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D">
      <w:pPr>
        <w:numPr>
          <w:ilvl w:val="1"/>
          <w:numId w:val="5"/>
        </w:numPr>
        <w:ind w:left="1440" w:hanging="360"/>
      </w:pPr>
      <w:r w:rsidDel="00000000" w:rsidR="00000000" w:rsidRPr="00000000">
        <w:rPr>
          <w:rtl w:val="0"/>
        </w:rPr>
        <w:t xml:space="preserve">System Owner(s):</w:t>
      </w:r>
    </w:p>
    <w:p w:rsidR="00000000" w:rsidDel="00000000" w:rsidP="00000000" w:rsidRDefault="00000000" w:rsidRPr="00000000" w14:paraId="0000001E">
      <w:pPr>
        <w:numPr>
          <w:ilvl w:val="2"/>
          <w:numId w:val="5"/>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1F">
      <w:pPr>
        <w:numPr>
          <w:ilvl w:val="1"/>
          <w:numId w:val="5"/>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20">
      <w:pPr>
        <w:numPr>
          <w:ilvl w:val="2"/>
          <w:numId w:val="5"/>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21">
      <w:pPr>
        <w:numPr>
          <w:ilvl w:val="1"/>
          <w:numId w:val="5"/>
        </w:numPr>
        <w:ind w:left="1440" w:hanging="360"/>
      </w:pPr>
      <w:r w:rsidDel="00000000" w:rsidR="00000000" w:rsidRPr="00000000">
        <w:rPr>
          <w:rtl w:val="0"/>
        </w:rPr>
        <w:t xml:space="preserve">System Administrator(s):</w:t>
      </w:r>
    </w:p>
    <w:p w:rsidR="00000000" w:rsidDel="00000000" w:rsidP="00000000" w:rsidRDefault="00000000" w:rsidRPr="00000000" w14:paraId="00000022">
      <w:pPr>
        <w:numPr>
          <w:ilvl w:val="2"/>
          <w:numId w:val="5"/>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3">
      <w:pPr>
        <w:numPr>
          <w:ilvl w:val="1"/>
          <w:numId w:val="5"/>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4">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5">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6">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7">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28">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29">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2A">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2B">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2C">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2D">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2E">
      <w:pPr>
        <w:numPr>
          <w:ilvl w:val="1"/>
          <w:numId w:val="5"/>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2F">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30">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31">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32">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33">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34">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35">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36">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37">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38">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9">
      <w:pPr>
        <w:rPr>
          <w:rFonts w:ascii="Epilogue" w:cs="Epilogue" w:eastAsia="Epilogue" w:hAnsi="Epilogue"/>
        </w:rPr>
      </w:pPr>
      <w:r w:rsidDel="00000000" w:rsidR="00000000" w:rsidRPr="00000000">
        <w:rPr>
          <w:rtl w:val="0"/>
        </w:rPr>
      </w:r>
    </w:p>
    <w:p w:rsidR="00000000" w:rsidDel="00000000" w:rsidP="00000000" w:rsidRDefault="00000000" w:rsidRPr="00000000" w14:paraId="0000003A">
      <w:pPr>
        <w:pStyle w:val="Heading2"/>
        <w:numPr>
          <w:ilvl w:val="0"/>
          <w:numId w:val="5"/>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B">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Secure System Design Policy is to establish a comprehensive framework for incorporating security principles and practices throughout the system development lifecycle. This policy aims to ensure that all systems are designed, developed, deployed, and maintained with robust security measures to protect organizational assets, data integrity, and user privacy. By adhering to industry best practices and regulatory requirements, this policy seeks to mitigate security risks, prevent unauthorized access, and ensure the continuous protection of critical information systems.</w:t>
      </w:r>
      <w:r w:rsidDel="00000000" w:rsidR="00000000" w:rsidRPr="00000000">
        <w:rPr>
          <w:rtl w:val="0"/>
        </w:rPr>
      </w:r>
    </w:p>
    <w:p w:rsidR="00000000" w:rsidDel="00000000" w:rsidP="00000000" w:rsidRDefault="00000000" w:rsidRPr="00000000" w14:paraId="0000003C">
      <w:pPr>
        <w:pStyle w:val="Heading2"/>
        <w:numPr>
          <w:ilvl w:val="0"/>
          <w:numId w:val="5"/>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D">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information systems developed, maintained, or operated by [Organization name], including but not limited to:</w:t>
      </w:r>
    </w:p>
    <w:p w:rsidR="00000000" w:rsidDel="00000000" w:rsidP="00000000" w:rsidRDefault="00000000" w:rsidRPr="00000000" w14:paraId="0000003E">
      <w:pPr>
        <w:numPr>
          <w:ilvl w:val="0"/>
          <w:numId w:val="2"/>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Software applications</w:t>
      </w:r>
    </w:p>
    <w:p w:rsidR="00000000" w:rsidDel="00000000" w:rsidP="00000000" w:rsidRDefault="00000000" w:rsidRPr="00000000" w14:paraId="0000003F">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Network infrastructure</w:t>
      </w:r>
    </w:p>
    <w:p w:rsidR="00000000" w:rsidDel="00000000" w:rsidP="00000000" w:rsidRDefault="00000000" w:rsidRPr="00000000" w14:paraId="00000040">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Hardware components</w:t>
      </w:r>
    </w:p>
    <w:p w:rsidR="00000000" w:rsidDel="00000000" w:rsidP="00000000" w:rsidRDefault="00000000" w:rsidRPr="00000000" w14:paraId="00000041">
      <w:pPr>
        <w:numPr>
          <w:ilvl w:val="0"/>
          <w:numId w:val="2"/>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Third-party services and integrations</w:t>
      </w:r>
    </w:p>
    <w:p w:rsidR="00000000" w:rsidDel="00000000" w:rsidP="00000000" w:rsidRDefault="00000000" w:rsidRPr="00000000" w14:paraId="00000042">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is mandatory for all employees, contractors, third-party vendors, and stakeholders involved in the development, deployment, or maintenance of [Organization name]'s information systems. Compliance with this policy is essential to ensuring the security and resilience of the organization's IT infrastructure and safeguarding sensitive data against threats and vulnerabilities.</w:t>
      </w:r>
    </w:p>
    <w:p w:rsidR="00000000" w:rsidDel="00000000" w:rsidP="00000000" w:rsidRDefault="00000000" w:rsidRPr="00000000" w14:paraId="00000043">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4">
      <w:pPr>
        <w:pStyle w:val="Heading2"/>
        <w:numPr>
          <w:ilvl w:val="0"/>
          <w:numId w:val="5"/>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45">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6">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7">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8">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9">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58">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6">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7">
      <w:pPr>
        <w:pStyle w:val="Heading2"/>
        <w:numPr>
          <w:ilvl w:val="0"/>
          <w:numId w:val="5"/>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6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9">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C">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D">
      <w:pPr>
        <w:pStyle w:val="Heading2"/>
        <w:numPr>
          <w:ilvl w:val="0"/>
          <w:numId w:val="5"/>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6E">
      <w:pPr>
        <w:numPr>
          <w:ilvl w:val="0"/>
          <w:numId w:val="4"/>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6F">
      <w:pPr>
        <w:numPr>
          <w:ilvl w:val="0"/>
          <w:numId w:val="4"/>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0">
      <w:pPr>
        <w:numPr>
          <w:ilvl w:val="0"/>
          <w:numId w:val="4"/>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1">
      <w:pPr>
        <w:numPr>
          <w:ilvl w:val="0"/>
          <w:numId w:val="4"/>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2">
      <w:pPr>
        <w:numPr>
          <w:ilvl w:val="0"/>
          <w:numId w:val="4"/>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3">
      <w:pPr>
        <w:spacing w:line="276" w:lineRule="auto"/>
        <w:ind w:left="720" w:firstLine="0"/>
        <w:rPr/>
      </w:pPr>
      <w:r w:rsidDel="00000000" w:rsidR="00000000" w:rsidRPr="00000000">
        <w:rPr>
          <w:rtl w:val="0"/>
        </w:rPr>
      </w:r>
    </w:p>
    <w:p w:rsidR="00000000" w:rsidDel="00000000" w:rsidP="00000000" w:rsidRDefault="00000000" w:rsidRPr="00000000" w14:paraId="00000074">
      <w:pPr>
        <w:pStyle w:val="Heading2"/>
        <w:numPr>
          <w:ilvl w:val="0"/>
          <w:numId w:val="5"/>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5">
      <w:pPr>
        <w:numPr>
          <w:ilvl w:val="1"/>
          <w:numId w:val="5"/>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6">
      <w:pPr>
        <w:numPr>
          <w:ilvl w:val="1"/>
          <w:numId w:val="5"/>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9">
      <w:pPr>
        <w:numPr>
          <w:ilvl w:val="1"/>
          <w:numId w:val="5"/>
        </w:numPr>
        <w:ind w:left="1440" w:hanging="360"/>
        <w:rPr>
          <w:u w:val="none"/>
        </w:rPr>
      </w:pPr>
      <w:r w:rsidDel="00000000" w:rsidR="00000000" w:rsidRPr="00000000">
        <w:rPr>
          <w:b w:val="1"/>
          <w:rtl w:val="0"/>
        </w:rPr>
        <w:t xml:space="preserve">Secure Engineering Principles:</w:t>
      </w:r>
      <w:r w:rsidDel="00000000" w:rsidR="00000000" w:rsidRPr="00000000">
        <w:rPr>
          <w:rtl w:val="0"/>
        </w:rPr>
        <w:t xml:space="preserve"> A set of best practices and methodologies aimed at ensuring the security of systems throughout the development lifecycle by integrating security requirements from the outset.</w:t>
      </w:r>
    </w:p>
    <w:p w:rsidR="00000000" w:rsidDel="00000000" w:rsidP="00000000" w:rsidRDefault="00000000" w:rsidRPr="00000000" w14:paraId="0000007A">
      <w:pPr>
        <w:numPr>
          <w:ilvl w:val="1"/>
          <w:numId w:val="5"/>
        </w:numPr>
        <w:ind w:left="1440" w:hanging="360"/>
        <w:rPr>
          <w:u w:val="none"/>
        </w:rPr>
      </w:pPr>
      <w:r w:rsidDel="00000000" w:rsidR="00000000" w:rsidRPr="00000000">
        <w:rPr>
          <w:b w:val="1"/>
          <w:rtl w:val="0"/>
        </w:rPr>
        <w:t xml:space="preserve">Fail Secure:</w:t>
      </w:r>
      <w:r w:rsidDel="00000000" w:rsidR="00000000" w:rsidRPr="00000000">
        <w:rPr>
          <w:rtl w:val="0"/>
        </w:rPr>
        <w:t xml:space="preserve"> A security mechanism that ensures systems default to a secure state in the event of a failure, preventing unauthorized access or data leakage.</w:t>
      </w:r>
    </w:p>
    <w:p w:rsidR="00000000" w:rsidDel="00000000" w:rsidP="00000000" w:rsidRDefault="00000000" w:rsidRPr="00000000" w14:paraId="0000007B">
      <w:pPr>
        <w:numPr>
          <w:ilvl w:val="1"/>
          <w:numId w:val="5"/>
        </w:numPr>
        <w:ind w:left="1440" w:hanging="360"/>
        <w:rPr>
          <w:u w:val="none"/>
        </w:rPr>
      </w:pPr>
      <w:r w:rsidDel="00000000" w:rsidR="00000000" w:rsidRPr="00000000">
        <w:rPr>
          <w:b w:val="1"/>
          <w:rtl w:val="0"/>
        </w:rPr>
        <w:t xml:space="preserve">Components:</w:t>
      </w:r>
      <w:r w:rsidDel="00000000" w:rsidR="00000000" w:rsidRPr="00000000">
        <w:rPr>
          <w:rtl w:val="0"/>
        </w:rPr>
        <w:t xml:space="preserve"> Individual parts or elements that make up a system, including hardware, software, and third-party services, which are essential for the system's functionality.</w:t>
      </w:r>
    </w:p>
    <w:p w:rsidR="00000000" w:rsidDel="00000000" w:rsidP="00000000" w:rsidRDefault="00000000" w:rsidRPr="00000000" w14:paraId="0000007C">
      <w:pPr>
        <w:numPr>
          <w:ilvl w:val="1"/>
          <w:numId w:val="5"/>
        </w:numPr>
        <w:ind w:left="1440" w:hanging="360"/>
        <w:rPr>
          <w:u w:val="none"/>
        </w:rPr>
      </w:pPr>
      <w:r w:rsidDel="00000000" w:rsidR="00000000" w:rsidRPr="00000000">
        <w:rPr>
          <w:b w:val="1"/>
          <w:rtl w:val="0"/>
        </w:rPr>
        <w:t xml:space="preserve">Infrastructure:</w:t>
      </w:r>
      <w:r w:rsidDel="00000000" w:rsidR="00000000" w:rsidRPr="00000000">
        <w:rPr>
          <w:rtl w:val="0"/>
        </w:rPr>
        <w:t xml:space="preserve"> The foundational physical and virtual resources (such as servers, networking equipment, and cloud services) required to operate and manage IT services and solutions.</w:t>
      </w:r>
    </w:p>
    <w:p w:rsidR="00000000" w:rsidDel="00000000" w:rsidP="00000000" w:rsidRDefault="00000000" w:rsidRPr="00000000" w14:paraId="0000007D">
      <w:pPr>
        <w:numPr>
          <w:ilvl w:val="1"/>
          <w:numId w:val="5"/>
        </w:numPr>
        <w:ind w:left="1440" w:hanging="360"/>
        <w:rPr>
          <w:u w:val="none"/>
        </w:rPr>
      </w:pPr>
      <w:r w:rsidDel="00000000" w:rsidR="00000000" w:rsidRPr="00000000">
        <w:rPr>
          <w:b w:val="1"/>
          <w:rtl w:val="0"/>
        </w:rPr>
        <w:t xml:space="preserve">Specifications:</w:t>
      </w:r>
      <w:r w:rsidDel="00000000" w:rsidR="00000000" w:rsidRPr="00000000">
        <w:rPr>
          <w:rtl w:val="0"/>
        </w:rPr>
        <w:t xml:space="preserve"> Detailed, documented requirements and standards that define the security and privacy needs of a system, ensuring alignment with industry standards and regulatory obligations.</w:t>
      </w:r>
    </w:p>
    <w:p w:rsidR="00000000" w:rsidDel="00000000" w:rsidP="00000000" w:rsidRDefault="00000000" w:rsidRPr="00000000" w14:paraId="0000007E">
      <w:pPr>
        <w:numPr>
          <w:ilvl w:val="1"/>
          <w:numId w:val="5"/>
        </w:numPr>
        <w:ind w:left="1440" w:hanging="360"/>
        <w:rPr>
          <w:u w:val="none"/>
        </w:rPr>
      </w:pPr>
      <w:r w:rsidDel="00000000" w:rsidR="00000000" w:rsidRPr="00000000">
        <w:rPr>
          <w:b w:val="1"/>
          <w:rtl w:val="0"/>
        </w:rPr>
        <w:t xml:space="preserve">Network Separation:</w:t>
      </w:r>
      <w:r w:rsidDel="00000000" w:rsidR="00000000" w:rsidRPr="00000000">
        <w:rPr>
          <w:rtl w:val="0"/>
        </w:rPr>
        <w:t xml:space="preserve"> The practice of dividing a network into distinct segments to enhance security and limit the spread of potential threats.</w:t>
      </w:r>
    </w:p>
    <w:p w:rsidR="00000000" w:rsidDel="00000000" w:rsidP="00000000" w:rsidRDefault="00000000" w:rsidRPr="00000000" w14:paraId="0000007F">
      <w:pPr>
        <w:numPr>
          <w:ilvl w:val="1"/>
          <w:numId w:val="5"/>
        </w:numPr>
        <w:ind w:left="1440" w:hanging="360"/>
        <w:rPr>
          <w:u w:val="none"/>
        </w:rPr>
      </w:pPr>
      <w:r w:rsidDel="00000000" w:rsidR="00000000" w:rsidRPr="00000000">
        <w:rPr>
          <w:b w:val="1"/>
          <w:rtl w:val="0"/>
        </w:rPr>
        <w:t xml:space="preserve">Zero Trust:</w:t>
      </w:r>
      <w:r w:rsidDel="00000000" w:rsidR="00000000" w:rsidRPr="00000000">
        <w:rPr>
          <w:rtl w:val="0"/>
        </w:rPr>
        <w:t xml:space="preserve"> A security model that assumes no implicit trust and requires continuous verification of user identity, device health, and access rights before granting access to resources.</w:t>
      </w:r>
    </w:p>
    <w:p w:rsidR="00000000" w:rsidDel="00000000" w:rsidP="00000000" w:rsidRDefault="00000000" w:rsidRPr="00000000" w14:paraId="00000080">
      <w:pPr>
        <w:numPr>
          <w:ilvl w:val="1"/>
          <w:numId w:val="5"/>
        </w:numPr>
        <w:ind w:left="1440" w:hanging="360"/>
        <w:rPr>
          <w:u w:val="none"/>
        </w:rPr>
      </w:pPr>
      <w:r w:rsidDel="00000000" w:rsidR="00000000" w:rsidRPr="00000000">
        <w:rPr>
          <w:b w:val="1"/>
          <w:rtl w:val="0"/>
        </w:rPr>
        <w:t xml:space="preserve">Development Environment:</w:t>
      </w:r>
      <w:r w:rsidDel="00000000" w:rsidR="00000000" w:rsidRPr="00000000">
        <w:rPr>
          <w:rtl w:val="0"/>
        </w:rPr>
        <w:t xml:space="preserve"> An isolated environment where software development activities take place, including writing, testing, and debugging code.</w:t>
      </w:r>
    </w:p>
    <w:p w:rsidR="00000000" w:rsidDel="00000000" w:rsidP="00000000" w:rsidRDefault="00000000" w:rsidRPr="00000000" w14:paraId="00000081">
      <w:pPr>
        <w:numPr>
          <w:ilvl w:val="1"/>
          <w:numId w:val="5"/>
        </w:numPr>
        <w:ind w:left="1440" w:hanging="360"/>
        <w:rPr>
          <w:u w:val="none"/>
        </w:rPr>
      </w:pPr>
      <w:r w:rsidDel="00000000" w:rsidR="00000000" w:rsidRPr="00000000">
        <w:rPr>
          <w:b w:val="1"/>
          <w:rtl w:val="0"/>
        </w:rPr>
        <w:t xml:space="preserve">Staging Environment:</w:t>
      </w:r>
      <w:r w:rsidDel="00000000" w:rsidR="00000000" w:rsidRPr="00000000">
        <w:rPr>
          <w:rtl w:val="0"/>
        </w:rPr>
        <w:t xml:space="preserve"> A pre-production environment that closely mirrors the production environment, used for final testing and validation of changes before deployment.</w:t>
      </w:r>
    </w:p>
    <w:p w:rsidR="00000000" w:rsidDel="00000000" w:rsidP="00000000" w:rsidRDefault="00000000" w:rsidRPr="00000000" w14:paraId="00000082">
      <w:pPr>
        <w:numPr>
          <w:ilvl w:val="1"/>
          <w:numId w:val="5"/>
        </w:numPr>
        <w:ind w:left="1440" w:hanging="360"/>
        <w:rPr>
          <w:u w:val="none"/>
        </w:rPr>
      </w:pPr>
      <w:r w:rsidDel="00000000" w:rsidR="00000000" w:rsidRPr="00000000">
        <w:rPr>
          <w:b w:val="1"/>
          <w:rtl w:val="0"/>
        </w:rPr>
        <w:t xml:space="preserve">Production Environment:</w:t>
      </w:r>
      <w:r w:rsidDel="00000000" w:rsidR="00000000" w:rsidRPr="00000000">
        <w:rPr>
          <w:rtl w:val="0"/>
        </w:rPr>
        <w:t xml:space="preserve"> The live environment where the final version of software or services is deployed and accessible to end users.</w:t>
      </w:r>
    </w:p>
    <w:p w:rsidR="00000000" w:rsidDel="00000000" w:rsidP="00000000" w:rsidRDefault="00000000" w:rsidRPr="00000000" w14:paraId="00000083">
      <w:pPr>
        <w:numPr>
          <w:ilvl w:val="1"/>
          <w:numId w:val="5"/>
        </w:numPr>
        <w:ind w:left="1440" w:hanging="360"/>
        <w:rPr>
          <w:u w:val="none"/>
        </w:rPr>
      </w:pPr>
      <w:r w:rsidDel="00000000" w:rsidR="00000000" w:rsidRPr="00000000">
        <w:rPr>
          <w:b w:val="1"/>
          <w:rtl w:val="0"/>
        </w:rPr>
        <w:t xml:space="preserve">Testing Environment:</w:t>
      </w:r>
      <w:r w:rsidDel="00000000" w:rsidR="00000000" w:rsidRPr="00000000">
        <w:rPr>
          <w:rtl w:val="0"/>
        </w:rPr>
        <w:t xml:space="preserve"> An optional isolated environment used specifically for extensive testing, including functional, performance, and security testing, to ensure system stability and security.</w:t>
      </w:r>
    </w:p>
    <w:p w:rsidR="00000000" w:rsidDel="00000000" w:rsidP="00000000" w:rsidRDefault="00000000" w:rsidRPr="00000000" w14:paraId="00000084">
      <w:pPr>
        <w:numPr>
          <w:ilvl w:val="1"/>
          <w:numId w:val="5"/>
        </w:numPr>
        <w:ind w:left="1440" w:hanging="360"/>
        <w:rPr>
          <w:u w:val="none"/>
        </w:rPr>
      </w:pPr>
      <w:r w:rsidDel="00000000" w:rsidR="00000000" w:rsidRPr="00000000">
        <w:rPr>
          <w:b w:val="1"/>
          <w:rtl w:val="0"/>
        </w:rPr>
        <w:t xml:space="preserve">Network Diagrams:</w:t>
      </w:r>
      <w:r w:rsidDel="00000000" w:rsidR="00000000" w:rsidRPr="00000000">
        <w:rPr>
          <w:rtl w:val="0"/>
        </w:rPr>
        <w:t xml:space="preserve"> Visual representations of a network's components and their interconnections, used to illustrate and document the architecture of the network.</w:t>
      </w:r>
    </w:p>
    <w:p w:rsidR="00000000" w:rsidDel="00000000" w:rsidP="00000000" w:rsidRDefault="00000000" w:rsidRPr="00000000" w14:paraId="00000085">
      <w:pPr>
        <w:numPr>
          <w:ilvl w:val="1"/>
          <w:numId w:val="5"/>
        </w:numPr>
        <w:ind w:left="1440" w:hanging="360"/>
        <w:rPr>
          <w:u w:val="none"/>
        </w:rPr>
      </w:pPr>
      <w:r w:rsidDel="00000000" w:rsidR="00000000" w:rsidRPr="00000000">
        <w:rPr>
          <w:b w:val="1"/>
          <w:rtl w:val="0"/>
        </w:rPr>
        <w:t xml:space="preserve">Data Flows:</w:t>
      </w:r>
      <w:r w:rsidDel="00000000" w:rsidR="00000000" w:rsidRPr="00000000">
        <w:rPr>
          <w:rtl w:val="0"/>
        </w:rPr>
        <w:t xml:space="preserve"> Diagrams or descriptions showing how data moves through a system, including sources, destinations, and transformations along the way.</w:t>
      </w:r>
    </w:p>
    <w:p w:rsidR="00000000" w:rsidDel="00000000" w:rsidP="00000000" w:rsidRDefault="00000000" w:rsidRPr="00000000" w14:paraId="00000086">
      <w:pPr>
        <w:numPr>
          <w:ilvl w:val="1"/>
          <w:numId w:val="5"/>
        </w:numPr>
        <w:ind w:left="1440" w:hanging="360"/>
        <w:rPr>
          <w:u w:val="none"/>
        </w:rPr>
      </w:pPr>
      <w:r w:rsidDel="00000000" w:rsidR="00000000" w:rsidRPr="00000000">
        <w:rPr>
          <w:b w:val="1"/>
          <w:rtl w:val="0"/>
        </w:rPr>
        <w:t xml:space="preserve">Capacity Planning:</w:t>
      </w:r>
      <w:r w:rsidDel="00000000" w:rsidR="00000000" w:rsidRPr="00000000">
        <w:rPr>
          <w:rtl w:val="0"/>
        </w:rPr>
        <w:t xml:space="preserve"> The process of forecasting and managing the resources required (such as storage and processing power) to meet current and future demand for IT services.</w:t>
      </w:r>
    </w:p>
    <w:p w:rsidR="00000000" w:rsidDel="00000000" w:rsidP="00000000" w:rsidRDefault="00000000" w:rsidRPr="00000000" w14:paraId="00000087">
      <w:pPr>
        <w:numPr>
          <w:ilvl w:val="1"/>
          <w:numId w:val="5"/>
        </w:numPr>
        <w:ind w:left="1440" w:hanging="360"/>
        <w:rPr>
          <w:u w:val="none"/>
        </w:rPr>
      </w:pPr>
      <w:r w:rsidDel="00000000" w:rsidR="00000000" w:rsidRPr="00000000">
        <w:rPr>
          <w:b w:val="1"/>
          <w:rtl w:val="0"/>
        </w:rPr>
        <w:t xml:space="preserve">Software Bill of Materials (SBOM):</w:t>
      </w:r>
      <w:r w:rsidDel="00000000" w:rsidR="00000000" w:rsidRPr="00000000">
        <w:rPr>
          <w:rtl w:val="0"/>
        </w:rPr>
        <w:t xml:space="preserve"> A comprehensive inventory of all software components, including versions and dependencies, used in an application or system, essential for managing and mitigating security vulnerabilities.</w:t>
      </w:r>
    </w:p>
    <w:p w:rsidR="00000000" w:rsidDel="00000000" w:rsidP="00000000" w:rsidRDefault="00000000" w:rsidRPr="00000000" w14:paraId="00000088">
      <w:pPr>
        <w:ind w:left="450" w:firstLine="0"/>
        <w:rPr/>
      </w:pPr>
      <w:r w:rsidDel="00000000" w:rsidR="00000000" w:rsidRPr="00000000">
        <w:rPr>
          <w:rtl w:val="0"/>
        </w:rPr>
      </w:r>
    </w:p>
    <w:p w:rsidR="00000000" w:rsidDel="00000000" w:rsidP="00000000" w:rsidRDefault="00000000" w:rsidRPr="00000000" w14:paraId="00000089">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8A">
      <w:pPr>
        <w:pStyle w:val="Heading4"/>
        <w:numPr>
          <w:ilvl w:val="1"/>
          <w:numId w:val="5"/>
        </w:numPr>
        <w:spacing w:before="0" w:beforeAutospacing="0"/>
        <w:ind w:left="1440" w:hanging="360"/>
      </w:pPr>
      <w:bookmarkStart w:colFirst="0" w:colLast="0" w:name="_qnhiadq6c708" w:id="13"/>
      <w:bookmarkEnd w:id="13"/>
      <w:r w:rsidDel="00000000" w:rsidR="00000000" w:rsidRPr="00000000">
        <w:rPr>
          <w:rtl w:val="0"/>
        </w:rPr>
        <w:t xml:space="preserve">Secure Engineering Principles</w:t>
      </w:r>
    </w:p>
    <w:p w:rsidR="00000000" w:rsidDel="00000000" w:rsidP="00000000" w:rsidRDefault="00000000" w:rsidRPr="00000000" w14:paraId="0000008B">
      <w:pPr>
        <w:ind w:left="1440" w:firstLine="0"/>
        <w:rPr/>
      </w:pPr>
      <w:r w:rsidDel="00000000" w:rsidR="00000000" w:rsidRPr="00000000">
        <w:rPr>
          <w:rtl w:val="0"/>
        </w:rPr>
        <w:t xml:space="preserve">The [responsible party] shall implement secure engineering principles to ensure the robustness and resilience of all systems.</w:t>
      </w:r>
    </w:p>
    <w:p w:rsidR="00000000" w:rsidDel="00000000" w:rsidP="00000000" w:rsidRDefault="00000000" w:rsidRPr="00000000" w14:paraId="0000008C">
      <w:pPr>
        <w:numPr>
          <w:ilvl w:val="2"/>
          <w:numId w:val="5"/>
        </w:numPr>
        <w:ind w:left="2160" w:hanging="360"/>
      </w:pPr>
      <w:r w:rsidDel="00000000" w:rsidR="00000000" w:rsidRPr="00000000">
        <w:rPr>
          <w:rtl w:val="0"/>
        </w:rPr>
        <w:t xml:space="preserve">Incorporate security requirements early in the system development lifecycle.</w:t>
      </w:r>
    </w:p>
    <w:p w:rsidR="00000000" w:rsidDel="00000000" w:rsidP="00000000" w:rsidRDefault="00000000" w:rsidRPr="00000000" w14:paraId="0000008D">
      <w:pPr>
        <w:numPr>
          <w:ilvl w:val="2"/>
          <w:numId w:val="5"/>
        </w:numPr>
        <w:ind w:left="2160" w:hanging="360"/>
      </w:pPr>
      <w:r w:rsidDel="00000000" w:rsidR="00000000" w:rsidRPr="00000000">
        <w:rPr>
          <w:rtl w:val="0"/>
        </w:rPr>
        <w:t xml:space="preserve">Conduct regular threat modeling and risk assessments.</w:t>
      </w:r>
    </w:p>
    <w:p w:rsidR="00000000" w:rsidDel="00000000" w:rsidP="00000000" w:rsidRDefault="00000000" w:rsidRPr="00000000" w14:paraId="0000008E">
      <w:pPr>
        <w:numPr>
          <w:ilvl w:val="2"/>
          <w:numId w:val="5"/>
        </w:numPr>
        <w:ind w:left="2160" w:hanging="360"/>
      </w:pPr>
      <w:r w:rsidDel="00000000" w:rsidR="00000000" w:rsidRPr="00000000">
        <w:rPr>
          <w:rtl w:val="0"/>
        </w:rPr>
        <w:t xml:space="preserve">Utilize secure coding practices and static code analysis tools.</w:t>
      </w:r>
    </w:p>
    <w:p w:rsidR="00000000" w:rsidDel="00000000" w:rsidP="00000000" w:rsidRDefault="00000000" w:rsidRPr="00000000" w14:paraId="0000008F">
      <w:pPr>
        <w:numPr>
          <w:ilvl w:val="2"/>
          <w:numId w:val="5"/>
        </w:numPr>
        <w:ind w:left="2160" w:hanging="360"/>
      </w:pPr>
      <w:r w:rsidDel="00000000" w:rsidR="00000000" w:rsidRPr="00000000">
        <w:rPr>
          <w:rtl w:val="0"/>
        </w:rPr>
        <w:t xml:space="preserve">Perform regular security reviews and audits throughout the development process.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4"/>
        <w:numPr>
          <w:ilvl w:val="1"/>
          <w:numId w:val="5"/>
        </w:numPr>
        <w:ind w:left="1440" w:hanging="360"/>
      </w:pPr>
      <w:bookmarkStart w:colFirst="0" w:colLast="0" w:name="_td1asgl93o8r" w:id="14"/>
      <w:bookmarkEnd w:id="14"/>
      <w:r w:rsidDel="00000000" w:rsidR="00000000" w:rsidRPr="00000000">
        <w:rPr>
          <w:rtl w:val="0"/>
        </w:rPr>
        <w:t xml:space="preserve">Fail Secure</w:t>
      </w:r>
    </w:p>
    <w:p w:rsidR="00000000" w:rsidDel="00000000" w:rsidP="00000000" w:rsidRDefault="00000000" w:rsidRPr="00000000" w14:paraId="00000092">
      <w:pPr>
        <w:ind w:left="1440" w:firstLine="0"/>
        <w:rPr/>
      </w:pPr>
      <w:r w:rsidDel="00000000" w:rsidR="00000000" w:rsidRPr="00000000">
        <w:rPr>
          <w:rtl w:val="0"/>
        </w:rPr>
        <w:t xml:space="preserve">The [responsible party] is required to ensure that control systems fail securely to prevent unauthorized access or data leakage.</w:t>
      </w:r>
    </w:p>
    <w:p w:rsidR="00000000" w:rsidDel="00000000" w:rsidP="00000000" w:rsidRDefault="00000000" w:rsidRPr="00000000" w14:paraId="00000093">
      <w:pPr>
        <w:numPr>
          <w:ilvl w:val="2"/>
          <w:numId w:val="5"/>
        </w:numPr>
        <w:ind w:left="2160" w:hanging="360"/>
      </w:pPr>
      <w:r w:rsidDel="00000000" w:rsidR="00000000" w:rsidRPr="00000000">
        <w:rPr>
          <w:rtl w:val="0"/>
        </w:rPr>
        <w:t xml:space="preserve">Implement mechanisms to ensure systems default to a secure state in the event of a failure.</w:t>
      </w:r>
    </w:p>
    <w:p w:rsidR="00000000" w:rsidDel="00000000" w:rsidP="00000000" w:rsidRDefault="00000000" w:rsidRPr="00000000" w14:paraId="00000094">
      <w:pPr>
        <w:numPr>
          <w:ilvl w:val="2"/>
          <w:numId w:val="5"/>
        </w:numPr>
        <w:ind w:left="2160" w:hanging="360"/>
      </w:pPr>
      <w:r w:rsidDel="00000000" w:rsidR="00000000" w:rsidRPr="00000000">
        <w:rPr>
          <w:rtl w:val="0"/>
        </w:rPr>
        <w:t xml:space="preserve">Regularly test fail-secure mechanisms to verify their effectiveness.</w:t>
      </w:r>
    </w:p>
    <w:p w:rsidR="00000000" w:rsidDel="00000000" w:rsidP="00000000" w:rsidRDefault="00000000" w:rsidRPr="00000000" w14:paraId="00000095">
      <w:pPr>
        <w:numPr>
          <w:ilvl w:val="2"/>
          <w:numId w:val="5"/>
        </w:numPr>
        <w:ind w:left="2160" w:hanging="360"/>
      </w:pPr>
      <w:r w:rsidDel="00000000" w:rsidR="00000000" w:rsidRPr="00000000">
        <w:rPr>
          <w:rtl w:val="0"/>
        </w:rPr>
        <w:t xml:space="preserve">Document and address any identified weaknesses in the fail-secure mechanisms.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4"/>
        <w:numPr>
          <w:ilvl w:val="1"/>
          <w:numId w:val="5"/>
        </w:numPr>
        <w:ind w:left="1440" w:hanging="360"/>
      </w:pPr>
      <w:bookmarkStart w:colFirst="0" w:colLast="0" w:name="_ox1yk2jvcugu" w:id="15"/>
      <w:bookmarkEnd w:id="15"/>
      <w:r w:rsidDel="00000000" w:rsidR="00000000" w:rsidRPr="00000000">
        <w:rPr>
          <w:rtl w:val="0"/>
        </w:rPr>
        <w:t xml:space="preserve">Secure Use of Components and Infrastructure</w:t>
      </w:r>
    </w:p>
    <w:p w:rsidR="00000000" w:rsidDel="00000000" w:rsidP="00000000" w:rsidRDefault="00000000" w:rsidRPr="00000000" w14:paraId="00000098">
      <w:pPr>
        <w:ind w:left="1440" w:firstLine="0"/>
        <w:rPr/>
      </w:pPr>
      <w:r w:rsidDel="00000000" w:rsidR="00000000" w:rsidRPr="00000000">
        <w:rPr>
          <w:rtl w:val="0"/>
        </w:rPr>
        <w:t xml:space="preserve">The [responsible party] shall ensure the secure use of components and infrastructure.</w:t>
      </w:r>
    </w:p>
    <w:p w:rsidR="00000000" w:rsidDel="00000000" w:rsidP="00000000" w:rsidRDefault="00000000" w:rsidRPr="00000000" w14:paraId="00000099">
      <w:pPr>
        <w:numPr>
          <w:ilvl w:val="2"/>
          <w:numId w:val="5"/>
        </w:numPr>
        <w:ind w:left="2160" w:hanging="360"/>
      </w:pPr>
      <w:r w:rsidDel="00000000" w:rsidR="00000000" w:rsidRPr="00000000">
        <w:rPr>
          <w:rtl w:val="0"/>
        </w:rPr>
        <w:t xml:space="preserve">Use only approved and validated components in the system architecture.</w:t>
      </w:r>
    </w:p>
    <w:p w:rsidR="00000000" w:rsidDel="00000000" w:rsidP="00000000" w:rsidRDefault="00000000" w:rsidRPr="00000000" w14:paraId="0000009A">
      <w:pPr>
        <w:numPr>
          <w:ilvl w:val="2"/>
          <w:numId w:val="5"/>
        </w:numPr>
        <w:ind w:left="2160" w:hanging="360"/>
      </w:pPr>
      <w:r w:rsidDel="00000000" w:rsidR="00000000" w:rsidRPr="00000000">
        <w:rPr>
          <w:rtl w:val="0"/>
        </w:rPr>
        <w:t xml:space="preserve">Regularly update and patch all components to protect against vulnerabilities.</w:t>
      </w:r>
    </w:p>
    <w:p w:rsidR="00000000" w:rsidDel="00000000" w:rsidP="00000000" w:rsidRDefault="00000000" w:rsidRPr="00000000" w14:paraId="0000009B">
      <w:pPr>
        <w:numPr>
          <w:ilvl w:val="2"/>
          <w:numId w:val="5"/>
        </w:numPr>
        <w:ind w:left="2160" w:hanging="360"/>
      </w:pPr>
      <w:r w:rsidDel="00000000" w:rsidR="00000000" w:rsidRPr="00000000">
        <w:rPr>
          <w:rtl w:val="0"/>
        </w:rPr>
        <w:t xml:space="preserve">Conduct security assessments on third-party components and services.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4"/>
        <w:numPr>
          <w:ilvl w:val="1"/>
          <w:numId w:val="5"/>
        </w:numPr>
        <w:ind w:left="1440" w:hanging="360"/>
      </w:pPr>
      <w:bookmarkStart w:colFirst="0" w:colLast="0" w:name="_cnn6hrfune2g" w:id="16"/>
      <w:bookmarkEnd w:id="16"/>
      <w:r w:rsidDel="00000000" w:rsidR="00000000" w:rsidRPr="00000000">
        <w:rPr>
          <w:rtl w:val="0"/>
        </w:rPr>
        <w:t xml:space="preserve">Specifications for Defining Requirements for Security and Privacy</w:t>
      </w:r>
    </w:p>
    <w:p w:rsidR="00000000" w:rsidDel="00000000" w:rsidP="00000000" w:rsidRDefault="00000000" w:rsidRPr="00000000" w14:paraId="0000009E">
      <w:pPr>
        <w:ind w:left="1440" w:firstLine="0"/>
        <w:rPr/>
      </w:pPr>
      <w:r w:rsidDel="00000000" w:rsidR="00000000" w:rsidRPr="00000000">
        <w:rPr>
          <w:rtl w:val="0"/>
        </w:rPr>
        <w:t xml:space="preserve">The [responsible party] is required to use specifications for defining security and privacy requirements.</w:t>
      </w:r>
    </w:p>
    <w:p w:rsidR="00000000" w:rsidDel="00000000" w:rsidP="00000000" w:rsidRDefault="00000000" w:rsidRPr="00000000" w14:paraId="0000009F">
      <w:pPr>
        <w:numPr>
          <w:ilvl w:val="2"/>
          <w:numId w:val="5"/>
        </w:numPr>
        <w:ind w:left="2160" w:hanging="360"/>
      </w:pPr>
      <w:r w:rsidDel="00000000" w:rsidR="00000000" w:rsidRPr="00000000">
        <w:rPr>
          <w:rtl w:val="0"/>
        </w:rPr>
        <w:t xml:space="preserve">Develop comprehensive security and privacy requirements documentation.</w:t>
      </w:r>
    </w:p>
    <w:p w:rsidR="00000000" w:rsidDel="00000000" w:rsidP="00000000" w:rsidRDefault="00000000" w:rsidRPr="00000000" w14:paraId="000000A0">
      <w:pPr>
        <w:numPr>
          <w:ilvl w:val="2"/>
          <w:numId w:val="5"/>
        </w:numPr>
        <w:ind w:left="2160" w:hanging="360"/>
      </w:pPr>
      <w:r w:rsidDel="00000000" w:rsidR="00000000" w:rsidRPr="00000000">
        <w:rPr>
          <w:rtl w:val="0"/>
        </w:rPr>
        <w:t xml:space="preserve">Ensure alignment with industry standards and regulatory requirements.</w:t>
      </w:r>
    </w:p>
    <w:p w:rsidR="00000000" w:rsidDel="00000000" w:rsidP="00000000" w:rsidRDefault="00000000" w:rsidRPr="00000000" w14:paraId="000000A1">
      <w:pPr>
        <w:numPr>
          <w:ilvl w:val="2"/>
          <w:numId w:val="5"/>
        </w:numPr>
        <w:ind w:left="2160" w:hanging="360"/>
      </w:pPr>
      <w:r w:rsidDel="00000000" w:rsidR="00000000" w:rsidRPr="00000000">
        <w:rPr>
          <w:rtl w:val="0"/>
        </w:rPr>
        <w:t xml:space="preserve">Conduct periodic reviews and updates to the security and privacy specifications.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4"/>
        <w:numPr>
          <w:ilvl w:val="1"/>
          <w:numId w:val="5"/>
        </w:numPr>
        <w:ind w:left="1440" w:hanging="360"/>
      </w:pPr>
      <w:bookmarkStart w:colFirst="0" w:colLast="0" w:name="_t09dm4q2ylxn" w:id="17"/>
      <w:bookmarkEnd w:id="17"/>
      <w:r w:rsidDel="00000000" w:rsidR="00000000" w:rsidRPr="00000000">
        <w:rPr>
          <w:rtl w:val="0"/>
        </w:rPr>
        <w:t xml:space="preserve">Network Separation and Zero Trust</w:t>
      </w:r>
    </w:p>
    <w:p w:rsidR="00000000" w:rsidDel="00000000" w:rsidP="00000000" w:rsidRDefault="00000000" w:rsidRPr="00000000" w14:paraId="000000A4">
      <w:pPr>
        <w:ind w:left="1440" w:firstLine="0"/>
        <w:rPr/>
      </w:pPr>
      <w:r w:rsidDel="00000000" w:rsidR="00000000" w:rsidRPr="00000000">
        <w:rPr>
          <w:rtl w:val="0"/>
        </w:rPr>
        <w:t xml:space="preserve">The [responsible party] shall implement network separation and zero trust principles.</w:t>
      </w:r>
    </w:p>
    <w:p w:rsidR="00000000" w:rsidDel="00000000" w:rsidP="00000000" w:rsidRDefault="00000000" w:rsidRPr="00000000" w14:paraId="000000A5">
      <w:pPr>
        <w:numPr>
          <w:ilvl w:val="2"/>
          <w:numId w:val="5"/>
        </w:numPr>
        <w:ind w:left="2160" w:hanging="360"/>
      </w:pPr>
      <w:r w:rsidDel="00000000" w:rsidR="00000000" w:rsidRPr="00000000">
        <w:rPr>
          <w:rtl w:val="0"/>
        </w:rPr>
        <w:t xml:space="preserve">Segment networks to isolate critical systems and data.</w:t>
      </w:r>
    </w:p>
    <w:p w:rsidR="00000000" w:rsidDel="00000000" w:rsidP="00000000" w:rsidRDefault="00000000" w:rsidRPr="00000000" w14:paraId="000000A6">
      <w:pPr>
        <w:numPr>
          <w:ilvl w:val="2"/>
          <w:numId w:val="5"/>
        </w:numPr>
        <w:ind w:left="2160" w:hanging="360"/>
      </w:pPr>
      <w:r w:rsidDel="00000000" w:rsidR="00000000" w:rsidRPr="00000000">
        <w:rPr>
          <w:rtl w:val="0"/>
        </w:rPr>
        <w:t xml:space="preserve">Implement strict access controls and authentication mechanisms.</w:t>
      </w:r>
    </w:p>
    <w:p w:rsidR="00000000" w:rsidDel="00000000" w:rsidP="00000000" w:rsidRDefault="00000000" w:rsidRPr="00000000" w14:paraId="000000A7">
      <w:pPr>
        <w:numPr>
          <w:ilvl w:val="2"/>
          <w:numId w:val="5"/>
        </w:numPr>
        <w:ind w:left="2160" w:hanging="360"/>
      </w:pPr>
      <w:r w:rsidDel="00000000" w:rsidR="00000000" w:rsidRPr="00000000">
        <w:rPr>
          <w:rtl w:val="0"/>
        </w:rPr>
        <w:t xml:space="preserve">Regularly review and update network segmentation and access policies.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4"/>
        <w:numPr>
          <w:ilvl w:val="1"/>
          <w:numId w:val="5"/>
        </w:numPr>
        <w:ind w:left="1440" w:hanging="360"/>
      </w:pPr>
      <w:bookmarkStart w:colFirst="0" w:colLast="0" w:name="_k1zgovl0ohq5" w:id="18"/>
      <w:bookmarkEnd w:id="18"/>
      <w:r w:rsidDel="00000000" w:rsidR="00000000" w:rsidRPr="00000000">
        <w:rPr>
          <w:rtl w:val="0"/>
        </w:rPr>
        <w:t xml:space="preserve">Separate Environments for Development, Staging, and Production</w:t>
      </w:r>
    </w:p>
    <w:p w:rsidR="00000000" w:rsidDel="00000000" w:rsidP="00000000" w:rsidRDefault="00000000" w:rsidRPr="00000000" w14:paraId="000000AA">
      <w:pPr>
        <w:ind w:left="1440" w:firstLine="0"/>
        <w:rPr/>
      </w:pPr>
      <w:r w:rsidDel="00000000" w:rsidR="00000000" w:rsidRPr="00000000">
        <w:rPr>
          <w:rtl w:val="0"/>
        </w:rPr>
        <w:t xml:space="preserve">The [responsible party] is required to maintain separate environments for development, staging, and production.</w:t>
      </w:r>
    </w:p>
    <w:p w:rsidR="00000000" w:rsidDel="00000000" w:rsidP="00000000" w:rsidRDefault="00000000" w:rsidRPr="00000000" w14:paraId="000000AB">
      <w:pPr>
        <w:numPr>
          <w:ilvl w:val="2"/>
          <w:numId w:val="5"/>
        </w:numPr>
        <w:ind w:left="2160" w:hanging="360"/>
      </w:pPr>
      <w:r w:rsidDel="00000000" w:rsidR="00000000" w:rsidRPr="00000000">
        <w:rPr>
          <w:rtl w:val="0"/>
        </w:rPr>
        <w:t xml:space="preserve">Establish isolated environments to prevent cross-contamination of data and code.</w:t>
      </w:r>
    </w:p>
    <w:p w:rsidR="00000000" w:rsidDel="00000000" w:rsidP="00000000" w:rsidRDefault="00000000" w:rsidRPr="00000000" w14:paraId="000000AC">
      <w:pPr>
        <w:numPr>
          <w:ilvl w:val="2"/>
          <w:numId w:val="5"/>
        </w:numPr>
        <w:ind w:left="2160" w:hanging="360"/>
      </w:pPr>
      <w:r w:rsidDel="00000000" w:rsidR="00000000" w:rsidRPr="00000000">
        <w:rPr>
          <w:rtl w:val="0"/>
        </w:rPr>
        <w:t xml:space="preserve">Implement stringent access controls for each environment.</w:t>
      </w:r>
    </w:p>
    <w:p w:rsidR="00000000" w:rsidDel="00000000" w:rsidP="00000000" w:rsidRDefault="00000000" w:rsidRPr="00000000" w14:paraId="000000AD">
      <w:pPr>
        <w:numPr>
          <w:ilvl w:val="2"/>
          <w:numId w:val="5"/>
        </w:numPr>
        <w:ind w:left="2160" w:hanging="360"/>
      </w:pPr>
      <w:r w:rsidDel="00000000" w:rsidR="00000000" w:rsidRPr="00000000">
        <w:rPr>
          <w:rtl w:val="0"/>
        </w:rPr>
        <w:t xml:space="preserve">Optionally, create an additional environment for testing purposes.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4"/>
        <w:numPr>
          <w:ilvl w:val="1"/>
          <w:numId w:val="5"/>
        </w:numPr>
        <w:ind w:left="1440" w:hanging="360"/>
      </w:pPr>
      <w:bookmarkStart w:colFirst="0" w:colLast="0" w:name="_mcaselz26ck4" w:id="19"/>
      <w:bookmarkEnd w:id="19"/>
      <w:r w:rsidDel="00000000" w:rsidR="00000000" w:rsidRPr="00000000">
        <w:rPr>
          <w:rtl w:val="0"/>
        </w:rPr>
        <w:t xml:space="preserve">Creation of Network Diagrams and Data Flows</w:t>
      </w:r>
    </w:p>
    <w:p w:rsidR="00000000" w:rsidDel="00000000" w:rsidP="00000000" w:rsidRDefault="00000000" w:rsidRPr="00000000" w14:paraId="000000B0">
      <w:pPr>
        <w:ind w:left="1440" w:firstLine="0"/>
        <w:rPr/>
      </w:pPr>
      <w:r w:rsidDel="00000000" w:rsidR="00000000" w:rsidRPr="00000000">
        <w:rPr>
          <w:rtl w:val="0"/>
        </w:rPr>
        <w:t xml:space="preserve">The [responsible party] shall create and maintain up-to-date network diagrams and data flow documentation.</w:t>
      </w:r>
    </w:p>
    <w:p w:rsidR="00000000" w:rsidDel="00000000" w:rsidP="00000000" w:rsidRDefault="00000000" w:rsidRPr="00000000" w14:paraId="000000B1">
      <w:pPr>
        <w:numPr>
          <w:ilvl w:val="2"/>
          <w:numId w:val="5"/>
        </w:numPr>
        <w:ind w:left="2160" w:hanging="360"/>
      </w:pPr>
      <w:r w:rsidDel="00000000" w:rsidR="00000000" w:rsidRPr="00000000">
        <w:rPr>
          <w:rtl w:val="0"/>
        </w:rPr>
        <w:t xml:space="preserve">Document all network components, connections, and data flows.</w:t>
      </w:r>
    </w:p>
    <w:p w:rsidR="00000000" w:rsidDel="00000000" w:rsidP="00000000" w:rsidRDefault="00000000" w:rsidRPr="00000000" w14:paraId="000000B2">
      <w:pPr>
        <w:numPr>
          <w:ilvl w:val="2"/>
          <w:numId w:val="5"/>
        </w:numPr>
        <w:ind w:left="2160" w:hanging="360"/>
      </w:pPr>
      <w:r w:rsidDel="00000000" w:rsidR="00000000" w:rsidRPr="00000000">
        <w:rPr>
          <w:rtl w:val="0"/>
        </w:rPr>
        <w:t xml:space="preserve">Regularly review and update diagrams to reflect any changes in the infrastructure.</w:t>
      </w:r>
    </w:p>
    <w:p w:rsidR="00000000" w:rsidDel="00000000" w:rsidP="00000000" w:rsidRDefault="00000000" w:rsidRPr="00000000" w14:paraId="000000B3">
      <w:pPr>
        <w:numPr>
          <w:ilvl w:val="2"/>
          <w:numId w:val="5"/>
        </w:numPr>
        <w:ind w:left="2160" w:hanging="360"/>
      </w:pPr>
      <w:r w:rsidDel="00000000" w:rsidR="00000000" w:rsidRPr="00000000">
        <w:rPr>
          <w:rtl w:val="0"/>
        </w:rPr>
        <w:t xml:space="preserve">Ensure diagrams are accessible to relevant stakeholders.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4"/>
        <w:numPr>
          <w:ilvl w:val="1"/>
          <w:numId w:val="5"/>
        </w:numPr>
        <w:ind w:left="1440" w:hanging="360"/>
      </w:pPr>
      <w:bookmarkStart w:colFirst="0" w:colLast="0" w:name="_jjc1stwoopaj" w:id="20"/>
      <w:bookmarkEnd w:id="20"/>
      <w:r w:rsidDel="00000000" w:rsidR="00000000" w:rsidRPr="00000000">
        <w:rPr>
          <w:rtl w:val="0"/>
        </w:rPr>
        <w:t xml:space="preserve">Capacity Planning for Storage and Processing</w:t>
      </w:r>
    </w:p>
    <w:p w:rsidR="00000000" w:rsidDel="00000000" w:rsidP="00000000" w:rsidRDefault="00000000" w:rsidRPr="00000000" w14:paraId="000000B6">
      <w:pPr>
        <w:ind w:left="1440" w:firstLine="0"/>
        <w:rPr/>
      </w:pPr>
      <w:r w:rsidDel="00000000" w:rsidR="00000000" w:rsidRPr="00000000">
        <w:rPr>
          <w:rtl w:val="0"/>
        </w:rPr>
        <w:t xml:space="preserve">The [responsible party] is required to perform capacity planning for storage and processing.</w:t>
      </w:r>
    </w:p>
    <w:p w:rsidR="00000000" w:rsidDel="00000000" w:rsidP="00000000" w:rsidRDefault="00000000" w:rsidRPr="00000000" w14:paraId="000000B7">
      <w:pPr>
        <w:numPr>
          <w:ilvl w:val="2"/>
          <w:numId w:val="5"/>
        </w:numPr>
        <w:ind w:left="2160" w:hanging="360"/>
      </w:pPr>
      <w:r w:rsidDel="00000000" w:rsidR="00000000" w:rsidRPr="00000000">
        <w:rPr>
          <w:rtl w:val="0"/>
        </w:rPr>
        <w:t xml:space="preserve">Analyze current and projected storage and processing needs.</w:t>
      </w:r>
    </w:p>
    <w:p w:rsidR="00000000" w:rsidDel="00000000" w:rsidP="00000000" w:rsidRDefault="00000000" w:rsidRPr="00000000" w14:paraId="000000B8">
      <w:pPr>
        <w:numPr>
          <w:ilvl w:val="2"/>
          <w:numId w:val="5"/>
        </w:numPr>
        <w:ind w:left="2160" w:hanging="360"/>
      </w:pPr>
      <w:r w:rsidDel="00000000" w:rsidR="00000000" w:rsidRPr="00000000">
        <w:rPr>
          <w:rtl w:val="0"/>
        </w:rPr>
        <w:t xml:space="preserve">Implement scalable solutions to accommodate growth and demand.</w:t>
      </w:r>
    </w:p>
    <w:p w:rsidR="00000000" w:rsidDel="00000000" w:rsidP="00000000" w:rsidRDefault="00000000" w:rsidRPr="00000000" w14:paraId="000000B9">
      <w:pPr>
        <w:numPr>
          <w:ilvl w:val="2"/>
          <w:numId w:val="5"/>
        </w:numPr>
        <w:ind w:left="2160" w:hanging="360"/>
      </w:pPr>
      <w:r w:rsidDel="00000000" w:rsidR="00000000" w:rsidRPr="00000000">
        <w:rPr>
          <w:rtl w:val="0"/>
        </w:rPr>
        <w:t xml:space="preserve">Regularly review and adjust capacity plans based on usage patterns and trends.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4"/>
        <w:numPr>
          <w:ilvl w:val="1"/>
          <w:numId w:val="5"/>
        </w:numPr>
        <w:ind w:left="1440" w:hanging="360"/>
      </w:pPr>
      <w:bookmarkStart w:colFirst="0" w:colLast="0" w:name="_fhdk9c9nc52y" w:id="21"/>
      <w:bookmarkEnd w:id="21"/>
      <w:r w:rsidDel="00000000" w:rsidR="00000000" w:rsidRPr="00000000">
        <w:rPr>
          <w:rtl w:val="0"/>
        </w:rPr>
        <w:t xml:space="preserve">Maintain of a Software Bill of Materials (SBOM)</w:t>
      </w:r>
    </w:p>
    <w:p w:rsidR="00000000" w:rsidDel="00000000" w:rsidP="00000000" w:rsidRDefault="00000000" w:rsidRPr="00000000" w14:paraId="000000BC">
      <w:pPr>
        <w:ind w:left="1440" w:firstLine="0"/>
        <w:rPr/>
      </w:pPr>
      <w:r w:rsidDel="00000000" w:rsidR="00000000" w:rsidRPr="00000000">
        <w:rPr>
          <w:rtl w:val="0"/>
        </w:rPr>
        <w:t xml:space="preserve">The [responsible party] shall maintain a comprehensive Software Bill of Materials (SBOM).</w:t>
      </w:r>
    </w:p>
    <w:p w:rsidR="00000000" w:rsidDel="00000000" w:rsidP="00000000" w:rsidRDefault="00000000" w:rsidRPr="00000000" w14:paraId="000000BD">
      <w:pPr>
        <w:numPr>
          <w:ilvl w:val="2"/>
          <w:numId w:val="5"/>
        </w:numPr>
        <w:ind w:left="2160" w:hanging="360"/>
      </w:pPr>
      <w:r w:rsidDel="00000000" w:rsidR="00000000" w:rsidRPr="00000000">
        <w:rPr>
          <w:rtl w:val="0"/>
        </w:rPr>
        <w:t xml:space="preserve">Document all software components, including versions and dependencies.</w:t>
      </w:r>
    </w:p>
    <w:p w:rsidR="00000000" w:rsidDel="00000000" w:rsidP="00000000" w:rsidRDefault="00000000" w:rsidRPr="00000000" w14:paraId="000000BE">
      <w:pPr>
        <w:numPr>
          <w:ilvl w:val="2"/>
          <w:numId w:val="5"/>
        </w:numPr>
        <w:ind w:left="2160" w:hanging="360"/>
      </w:pPr>
      <w:r w:rsidDel="00000000" w:rsidR="00000000" w:rsidRPr="00000000">
        <w:rPr>
          <w:rtl w:val="0"/>
        </w:rPr>
        <w:t xml:space="preserve">Update the SBOM with each new release or update.</w:t>
      </w:r>
    </w:p>
    <w:p w:rsidR="00000000" w:rsidDel="00000000" w:rsidP="00000000" w:rsidRDefault="00000000" w:rsidRPr="00000000" w14:paraId="000000BF">
      <w:pPr>
        <w:numPr>
          <w:ilvl w:val="2"/>
          <w:numId w:val="5"/>
        </w:numPr>
        <w:ind w:left="2160" w:hanging="360"/>
      </w:pPr>
      <w:r w:rsidDel="00000000" w:rsidR="00000000" w:rsidRPr="00000000">
        <w:rPr>
          <w:rtl w:val="0"/>
        </w:rPr>
        <w:t xml:space="preserve">Use the SBOM to track and manage vulnerabilities in software components.</w:t>
      </w:r>
    </w:p>
    <w:p w:rsidR="00000000" w:rsidDel="00000000" w:rsidP="00000000" w:rsidRDefault="00000000" w:rsidRPr="00000000" w14:paraId="000000C0">
      <w:pPr>
        <w:ind w:left="450" w:firstLine="0"/>
        <w:rPr/>
      </w:pPr>
      <w:r w:rsidDel="00000000" w:rsidR="00000000" w:rsidRPr="00000000">
        <w:rPr>
          <w:rtl w:val="0"/>
        </w:rPr>
      </w:r>
    </w:p>
    <w:p w:rsidR="00000000" w:rsidDel="00000000" w:rsidP="00000000" w:rsidRDefault="00000000" w:rsidRPr="00000000" w14:paraId="000000C1">
      <w:pPr>
        <w:pStyle w:val="Heading2"/>
        <w:numPr>
          <w:ilvl w:val="0"/>
          <w:numId w:val="5"/>
        </w:numPr>
        <w:spacing w:after="0" w:afterAutospacing="0"/>
        <w:ind w:left="450" w:hanging="360"/>
      </w:pPr>
      <w:bookmarkStart w:colFirst="0" w:colLast="0" w:name="_mfhounx310os" w:id="22"/>
      <w:bookmarkEnd w:id="22"/>
      <w:r w:rsidDel="00000000" w:rsidR="00000000" w:rsidRPr="00000000">
        <w:rPr>
          <w:rtl w:val="0"/>
        </w:rPr>
        <w:t xml:space="preserve">Policy exemptions</w:t>
      </w:r>
    </w:p>
    <w:p w:rsidR="00000000" w:rsidDel="00000000" w:rsidP="00000000" w:rsidRDefault="00000000" w:rsidRPr="00000000" w14:paraId="000000C2">
      <w:pPr>
        <w:numPr>
          <w:ilvl w:val="1"/>
          <w:numId w:val="5"/>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C3">
      <w:pPr>
        <w:numPr>
          <w:ilvl w:val="1"/>
          <w:numId w:val="5"/>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C4">
      <w:pPr>
        <w:numPr>
          <w:ilvl w:val="1"/>
          <w:numId w:val="5"/>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C5">
      <w:pPr>
        <w:ind w:left="1440" w:firstLine="0"/>
        <w:rPr/>
      </w:pPr>
      <w:r w:rsidDel="00000000" w:rsidR="00000000" w:rsidRPr="00000000">
        <w:rPr>
          <w:rtl w:val="0"/>
        </w:rPr>
      </w:r>
    </w:p>
    <w:p w:rsidR="00000000" w:rsidDel="00000000" w:rsidP="00000000" w:rsidRDefault="00000000" w:rsidRPr="00000000" w14:paraId="000000C6">
      <w:pPr>
        <w:pStyle w:val="Heading2"/>
        <w:numPr>
          <w:ilvl w:val="0"/>
          <w:numId w:val="5"/>
        </w:numPr>
        <w:spacing w:after="0" w:afterAutospacing="0"/>
        <w:ind w:left="450" w:hanging="360"/>
        <w:rPr/>
      </w:pPr>
      <w:bookmarkStart w:colFirst="0" w:colLast="0" w:name="_foccf34abv73" w:id="23"/>
      <w:bookmarkEnd w:id="23"/>
      <w:r w:rsidDel="00000000" w:rsidR="00000000" w:rsidRPr="00000000">
        <w:rPr>
          <w:rtl w:val="0"/>
        </w:rPr>
        <w:t xml:space="preserve">Related documents</w:t>
      </w:r>
    </w:p>
    <w:p w:rsidR="00000000" w:rsidDel="00000000" w:rsidP="00000000" w:rsidRDefault="00000000" w:rsidRPr="00000000" w14:paraId="000000C7">
      <w:pPr>
        <w:numPr>
          <w:ilvl w:val="1"/>
          <w:numId w:val="5"/>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C8">
      <w:pPr>
        <w:numPr>
          <w:ilvl w:val="2"/>
          <w:numId w:val="5"/>
        </w:numPr>
        <w:ind w:left="2160" w:hanging="360"/>
      </w:pPr>
      <w:r w:rsidDel="00000000" w:rsidR="00000000" w:rsidRPr="00000000">
        <w:rPr>
          <w:rtl w:val="0"/>
        </w:rPr>
        <w:t xml:space="preserve">Policies</w:t>
      </w:r>
    </w:p>
    <w:p w:rsidR="00000000" w:rsidDel="00000000" w:rsidP="00000000" w:rsidRDefault="00000000" w:rsidRPr="00000000" w14:paraId="000000C9">
      <w:pPr>
        <w:numPr>
          <w:ilvl w:val="2"/>
          <w:numId w:val="5"/>
        </w:numPr>
        <w:ind w:left="2160" w:hanging="360"/>
      </w:pPr>
      <w:r w:rsidDel="00000000" w:rsidR="00000000" w:rsidRPr="00000000">
        <w:rPr>
          <w:rtl w:val="0"/>
        </w:rPr>
        <w:t xml:space="preserve">Procedures</w:t>
      </w:r>
    </w:p>
    <w:p w:rsidR="00000000" w:rsidDel="00000000" w:rsidP="00000000" w:rsidRDefault="00000000" w:rsidRPr="00000000" w14:paraId="000000CA">
      <w:pPr>
        <w:numPr>
          <w:ilvl w:val="2"/>
          <w:numId w:val="5"/>
        </w:numPr>
        <w:ind w:left="2160" w:hanging="360"/>
      </w:pPr>
      <w:r w:rsidDel="00000000" w:rsidR="00000000" w:rsidRPr="00000000">
        <w:rPr>
          <w:rtl w:val="0"/>
        </w:rPr>
        <w:t xml:space="preserve">Standards</w:t>
      </w:r>
    </w:p>
    <w:p w:rsidR="00000000" w:rsidDel="00000000" w:rsidP="00000000" w:rsidRDefault="00000000" w:rsidRPr="00000000" w14:paraId="000000CB">
      <w:pPr>
        <w:numPr>
          <w:ilvl w:val="2"/>
          <w:numId w:val="5"/>
        </w:numPr>
        <w:ind w:left="2160" w:hanging="360"/>
      </w:pPr>
      <w:r w:rsidDel="00000000" w:rsidR="00000000" w:rsidRPr="00000000">
        <w:rPr>
          <w:rtl w:val="0"/>
        </w:rPr>
        <w:t xml:space="preserve">Documentation</w:t>
      </w:r>
    </w:p>
    <w:p w:rsidR="00000000" w:rsidDel="00000000" w:rsidP="00000000" w:rsidRDefault="00000000" w:rsidRPr="00000000" w14:paraId="000000CC">
      <w:pPr>
        <w:numPr>
          <w:ilvl w:val="2"/>
          <w:numId w:val="5"/>
        </w:numPr>
        <w:ind w:left="2160" w:hanging="360"/>
      </w:pPr>
      <w:r w:rsidDel="00000000" w:rsidR="00000000" w:rsidRPr="00000000">
        <w:rPr>
          <w:rtl w:val="0"/>
        </w:rPr>
        <w:t xml:space="preserve">Regulations</w:t>
      </w:r>
    </w:p>
    <w:p w:rsidR="00000000" w:rsidDel="00000000" w:rsidP="00000000" w:rsidRDefault="00000000" w:rsidRPr="00000000" w14:paraId="000000CD">
      <w:pPr>
        <w:numPr>
          <w:ilvl w:val="2"/>
          <w:numId w:val="5"/>
        </w:numPr>
        <w:ind w:left="2160" w:hanging="360"/>
      </w:pPr>
      <w:r w:rsidDel="00000000" w:rsidR="00000000" w:rsidRPr="00000000">
        <w:rPr>
          <w:rtl w:val="0"/>
        </w:rPr>
        <w:t xml:space="preserve">Legal context</w:t>
      </w:r>
    </w:p>
    <w:p w:rsidR="00000000" w:rsidDel="00000000" w:rsidP="00000000" w:rsidRDefault="00000000" w:rsidRPr="00000000" w14:paraId="000000CE">
      <w:pPr>
        <w:ind w:left="720" w:firstLine="720"/>
        <w:rPr/>
      </w:pPr>
      <w:r w:rsidDel="00000000" w:rsidR="00000000" w:rsidRPr="00000000">
        <w:rPr>
          <w:rtl w:val="0"/>
        </w:rPr>
        <w:t xml:space="preserve">]</w:t>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pStyle w:val="Heading2"/>
        <w:numPr>
          <w:ilvl w:val="0"/>
          <w:numId w:val="5"/>
        </w:numPr>
        <w:spacing w:after="0" w:afterAutospacing="0"/>
        <w:ind w:left="450" w:hanging="360"/>
      </w:pPr>
      <w:bookmarkStart w:colFirst="0" w:colLast="0" w:name="_utfgx2qf4we1" w:id="24"/>
      <w:bookmarkEnd w:id="24"/>
      <w:r w:rsidDel="00000000" w:rsidR="00000000" w:rsidRPr="00000000">
        <w:rPr>
          <w:rtl w:val="0"/>
        </w:rPr>
        <w:t xml:space="preserve">Revision history</w:t>
      </w:r>
    </w:p>
    <w:p w:rsidR="00000000" w:rsidDel="00000000" w:rsidP="00000000" w:rsidRDefault="00000000" w:rsidRPr="00000000" w14:paraId="000000D1">
      <w:pPr>
        <w:numPr>
          <w:ilvl w:val="1"/>
          <w:numId w:val="5"/>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D2">
      <w:pPr>
        <w:numPr>
          <w:ilvl w:val="1"/>
          <w:numId w:val="5"/>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D3">
      <w:pPr>
        <w:numPr>
          <w:ilvl w:val="2"/>
          <w:numId w:val="5"/>
        </w:numPr>
        <w:ind w:left="2160" w:hanging="360"/>
      </w:pPr>
      <w:r w:rsidDel="00000000" w:rsidR="00000000" w:rsidRPr="00000000">
        <w:rPr>
          <w:rtl w:val="0"/>
        </w:rPr>
        <w:t xml:space="preserve">The Information Security Officer</w:t>
      </w:r>
    </w:p>
    <w:p w:rsidR="00000000" w:rsidDel="00000000" w:rsidP="00000000" w:rsidRDefault="00000000" w:rsidRPr="00000000" w14:paraId="000000D4">
      <w:pPr>
        <w:numPr>
          <w:ilvl w:val="2"/>
          <w:numId w:val="5"/>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D5">
      <w:pPr>
        <w:numPr>
          <w:ilvl w:val="1"/>
          <w:numId w:val="5"/>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D6">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3">
      <w:pPr>
        <w:pStyle w:val="Heading2"/>
        <w:numPr>
          <w:ilvl w:val="0"/>
          <w:numId w:val="5"/>
        </w:numPr>
        <w:ind w:left="450" w:hanging="360"/>
        <w:rPr>
          <w:rFonts w:ascii="Epilogue" w:cs="Epilogue" w:eastAsia="Epilogue" w:hAnsi="Epilogue"/>
          <w:u w:val="none"/>
        </w:rPr>
      </w:pPr>
      <w:bookmarkStart w:colFirst="0" w:colLast="0" w:name="_hfvfegy1vaeq" w:id="25"/>
      <w:bookmarkEnd w:id="25"/>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0E4">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F">
      <w:pPr>
        <w:rPr>
          <w:rFonts w:ascii="Epilogue" w:cs="Epilogue" w:eastAsia="Epilogue" w:hAnsi="Epilogue"/>
        </w:rPr>
      </w:pPr>
      <w:r w:rsidDel="00000000" w:rsidR="00000000" w:rsidRPr="00000000">
        <w:rPr>
          <w:rtl w:val="0"/>
        </w:rPr>
      </w:r>
    </w:p>
    <w:p w:rsidR="00000000" w:rsidDel="00000000" w:rsidP="00000000" w:rsidRDefault="00000000" w:rsidRPr="00000000" w14:paraId="000000F0">
      <w:pPr>
        <w:rPr>
          <w:rFonts w:ascii="Epilogue" w:cs="Epilogue" w:eastAsia="Epilogue" w:hAnsi="Epilogue"/>
        </w:rPr>
      </w:pPr>
      <w:r w:rsidDel="00000000" w:rsidR="00000000" w:rsidRPr="00000000">
        <w:rPr>
          <w:rtl w:val="0"/>
        </w:rPr>
      </w:r>
    </w:p>
    <w:sectPr>
      <w:headerReference r:id="rId12" w:type="default"/>
      <w:footerReference r:id="rId13" w:type="default"/>
      <w:footerReference r:id="rId14"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2">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03">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so.org/obp/ui/#iso:std:iso-iec:27034:-1:ed-1:v1:en" TargetMode="External"/><Relationship Id="rId10" Type="http://schemas.openxmlformats.org/officeDocument/2006/relationships/hyperlink" Target="https://www.iso.org/obp/ui/#iso:std:iso-iec:27034:-1:ed-1:v1:e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rc.nist.gov/pubs/sp/800/215/final"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csrc.nist.gov/pubs/sp/800/160/v1/r1/final" TargetMode="External"/><Relationship Id="rId7" Type="http://schemas.openxmlformats.org/officeDocument/2006/relationships/hyperlink" Target="https://csrc.nist.gov/pubs/sp/800/160/v1/r1/final" TargetMode="External"/><Relationship Id="rId8" Type="http://schemas.openxmlformats.org/officeDocument/2006/relationships/hyperlink" Target="https://csrc.nist.gov/pubs/sp/800/207/f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